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sz w:val="44"/>
          <w:szCs w:val="44"/>
          <w:lang w:val="en-US" w:eastAsia="zh-CN"/>
        </w:rPr>
      </w:pPr>
    </w:p>
    <w:p>
      <w:pPr>
        <w:spacing w:line="579" w:lineRule="exact"/>
        <w:jc w:val="center"/>
        <w:rPr>
          <w:rFonts w:hint="eastAsia" w:ascii="方正小标宋简体" w:hAnsi="方正小标宋简体" w:eastAsia="方正小标宋简体" w:cs="方正小标宋简体"/>
          <w:sz w:val="44"/>
          <w:szCs w:val="44"/>
          <w:lang w:val="en-US" w:eastAsia="zh-CN"/>
        </w:rPr>
      </w:pPr>
      <w:bookmarkStart w:id="3" w:name="_GoBack"/>
      <w:r>
        <w:rPr>
          <w:rFonts w:hint="eastAsia" w:ascii="方正小标宋简体" w:hAnsi="方正小标宋简体" w:eastAsia="方正小标宋简体" w:cs="方正小标宋简体"/>
          <w:sz w:val="44"/>
          <w:szCs w:val="44"/>
          <w:lang w:val="en-US" w:eastAsia="zh-CN"/>
        </w:rPr>
        <w:t>陕西省生态环境厅2026年度现场行政检查计划</w:t>
      </w:r>
    </w:p>
    <w:bookmarkEnd w:id="3"/>
    <w:p>
      <w:pPr>
        <w:spacing w:line="579" w:lineRule="exact"/>
        <w:jc w:val="center"/>
        <w:rPr>
          <w:rFonts w:hint="eastAsia" w:ascii="方正小标宋简体" w:hAnsi="方正小标宋简体" w:eastAsia="方正小标宋简体" w:cs="方正小标宋简体"/>
          <w:sz w:val="44"/>
          <w:szCs w:val="44"/>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66"/>
        <w:gridCol w:w="1321"/>
        <w:gridCol w:w="4450"/>
        <w:gridCol w:w="1712"/>
        <w:gridCol w:w="4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检查</w:t>
            </w:r>
            <w:r>
              <w:rPr>
                <w:rFonts w:hint="eastAsia" w:ascii="黑体" w:hAnsi="黑体" w:eastAsia="黑体" w:cs="黑体"/>
                <w:sz w:val="24"/>
                <w:szCs w:val="22"/>
              </w:rPr>
              <w:br w:type="textWrapping"/>
            </w:r>
            <w:r>
              <w:rPr>
                <w:rFonts w:hint="eastAsia" w:ascii="黑体" w:hAnsi="黑体" w:eastAsia="黑体" w:cs="黑体"/>
                <w:sz w:val="24"/>
                <w:szCs w:val="22"/>
              </w:rPr>
              <w:t>时间</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检查事项</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负责部门</w:t>
            </w:r>
            <w:r>
              <w:rPr>
                <w:rFonts w:hint="eastAsia" w:ascii="黑体" w:hAnsi="黑体" w:eastAsia="黑体" w:cs="黑体"/>
                <w:sz w:val="24"/>
                <w:szCs w:val="22"/>
              </w:rPr>
              <w:br w:type="textWrapping"/>
            </w:r>
            <w:r>
              <w:rPr>
                <w:rFonts w:hint="eastAsia" w:ascii="黑体" w:hAnsi="黑体" w:eastAsia="黑体" w:cs="黑体"/>
                <w:sz w:val="24"/>
                <w:szCs w:val="22"/>
              </w:rPr>
              <w:t>（单位）</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检查内容</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检查范围</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2"/>
              </w:rPr>
            </w:pPr>
            <w:r>
              <w:rPr>
                <w:rFonts w:hint="eastAsia" w:ascii="黑体" w:hAnsi="黑体" w:eastAsia="黑体" w:cs="黑体"/>
                <w:sz w:val="24"/>
                <w:szCs w:val="22"/>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一季度</w:t>
            </w:r>
          </w:p>
        </w:tc>
        <w:tc>
          <w:tcPr>
            <w:tcW w:w="17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对企事业单位及其他生产经营者大气污染防治的行政检查</w:t>
            </w:r>
          </w:p>
        </w:tc>
        <w:tc>
          <w:tcPr>
            <w:tcW w:w="13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大气办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扬尘污染防治、臭氧污染防治措施落实情况</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重点行业超低排放改造运行、绩效A级和引领性企业运行情况</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机动车排放检验机构计量认证，对机动车进行排放检验，并与生态环境主管部门联网，实现检验数据实时共享的情况。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全省</w:t>
            </w:r>
          </w:p>
        </w:tc>
        <w:tc>
          <w:tcPr>
            <w:tcW w:w="4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《中华人民共和国大气污染防治法》《陕西省大气污染防治条例》《大气污染治理专项行动年度工作要点》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p>
        </w:tc>
        <w:tc>
          <w:tcPr>
            <w:tcW w:w="13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sz w:val="24"/>
                <w:szCs w:val="24"/>
                <w:highlight w:val="none"/>
                <w:lang w:val="en-US" w:eastAsia="zh-CN"/>
              </w:rPr>
            </w:pP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重污染天气应急预案、措施落实情况和污染治理设施运行情况。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关中各市区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和汉中市</w:t>
            </w:r>
          </w:p>
        </w:tc>
        <w:tc>
          <w:tcPr>
            <w:tcW w:w="4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rPr>
              <w:t>对企事业单位及其他生产经营者水污染防治的行政检查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水处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lang w:val="en-US" w:eastAsia="zh-CN"/>
              </w:rPr>
              <w:t>沿河污水处理厂运行达标情况。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lang w:val="en-US" w:eastAsia="zh-CN"/>
              </w:rPr>
              <w:t>汉江干流、无定河、窟野河、清涧河、新河、清河、北洛河（渭南段）</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rPr>
              <w:t>《中华人民共和国水污染防治法》</w:t>
            </w:r>
            <w:r>
              <w:rPr>
                <w:rFonts w:hint="eastAsia" w:ascii="仿宋_GB2312" w:hAnsi="仿宋_GB2312" w:eastAsia="仿宋_GB2312" w:cs="仿宋_GB2312"/>
                <w:color w:val="auto"/>
                <w:sz w:val="24"/>
                <w:szCs w:val="24"/>
                <w:lang w:eastAsia="zh-CN"/>
              </w:rPr>
              <w:t>《陕西省黄河流域污水综合排放标准》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对土壤污染防治的行政检查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固体处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尾矿库环保责任制度落实、污染防治设施运行情况及相关环境执法监管问题整改落实情况。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宝鸡、渭南、汉中、安康、商洛市</w:t>
            </w:r>
          </w:p>
        </w:tc>
        <w:tc>
          <w:tcPr>
            <w:tcW w:w="4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z w:val="24"/>
                <w:szCs w:val="24"/>
              </w:rPr>
              <w:t>《中华人民共和国土壤污染防治法》《尾矿污染环境防治管理办法》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规模畜禽养殖污染防治条例》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outlineLvl w:val="9"/>
              <w:rPr>
                <w:rFonts w:hint="eastAsia" w:ascii="仿宋_GB2312" w:hAnsi="仿宋_GB2312" w:eastAsia="仿宋_GB2312" w:cs="仿宋_GB2312"/>
                <w:sz w:val="24"/>
                <w:szCs w:val="24"/>
              </w:rPr>
            </w:pPr>
          </w:p>
        </w:tc>
        <w:tc>
          <w:tcPr>
            <w:tcW w:w="176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outlineLvl w:val="9"/>
              <w:rPr>
                <w:rFonts w:hint="eastAsia" w:ascii="仿宋_GB2312" w:hAnsi="仿宋_GB2312" w:eastAsia="仿宋_GB2312" w:cs="仿宋_GB2312"/>
                <w:sz w:val="24"/>
                <w:szCs w:val="24"/>
              </w:rPr>
            </w:pP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执法总队</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土壤处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土壤污染重点监管单位环保责任制度落实、污染防治设施运行情况及相关环境执法监管问题整改落实情况</w:t>
            </w:r>
            <w:r>
              <w:rPr>
                <w:rFonts w:hint="eastAsia" w:ascii="仿宋_GB2312" w:hAnsi="仿宋_GB2312" w:eastAsia="仿宋_GB2312" w:cs="仿宋_GB2312"/>
                <w:color w:val="auto"/>
                <w:sz w:val="24"/>
                <w:szCs w:val="24"/>
                <w:lang w:val="en-US" w:eastAsia="zh-CN"/>
              </w:rPr>
              <w:t>和规模畜禽养殖污染防治情况。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宝鸡、渭南、延安、榆林、汉中、安康、商洛市</w:t>
            </w:r>
          </w:p>
        </w:tc>
        <w:tc>
          <w:tcPr>
            <w:tcW w:w="4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712" w:type="dxa"/>
            <w:vMerge w:val="continue"/>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对生产、销售、使用放射性同位素和射线装置</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单位</w:t>
            </w:r>
            <w:r>
              <w:rPr>
                <w:rFonts w:hint="eastAsia" w:ascii="仿宋_GB2312" w:hAnsi="仿宋_GB2312" w:eastAsia="仿宋_GB2312" w:cs="仿宋_GB2312"/>
                <w:color w:val="auto"/>
                <w:sz w:val="24"/>
                <w:szCs w:val="24"/>
                <w:highlight w:val="none"/>
                <w:lang w:val="en-US" w:eastAsia="zh-CN"/>
              </w:rPr>
              <w:t>及电磁辐射设施设备</w:t>
            </w:r>
            <w:r>
              <w:rPr>
                <w:rFonts w:hint="eastAsia" w:ascii="仿宋_GB2312" w:hAnsi="仿宋_GB2312" w:eastAsia="仿宋_GB2312" w:cs="仿宋_GB2312"/>
                <w:color w:val="auto"/>
                <w:sz w:val="24"/>
                <w:szCs w:val="24"/>
                <w:highlight w:val="none"/>
              </w:rPr>
              <w:t>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辐射处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部管辐照加工企业辐射事故应急预案符合性和执行情况；放药生产单位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涉及使用乙级非密封放射性物质工作场所的医院</w:t>
            </w:r>
            <w:r>
              <w:rPr>
                <w:rFonts w:hint="eastAsia" w:ascii="仿宋_GB2312" w:hAnsi="仿宋_GB2312" w:eastAsia="仿宋_GB2312" w:cs="仿宋_GB2312"/>
                <w:color w:val="auto"/>
                <w:sz w:val="24"/>
                <w:szCs w:val="24"/>
                <w:highlight w:val="none"/>
              </w:rPr>
              <w:t>辐射安全管理及</w:t>
            </w:r>
            <w:r>
              <w:rPr>
                <w:rFonts w:hint="eastAsia" w:ascii="仿宋_GB2312" w:hAnsi="仿宋_GB2312" w:eastAsia="仿宋_GB2312" w:cs="仿宋_GB2312"/>
                <w:color w:val="auto"/>
                <w:sz w:val="24"/>
                <w:szCs w:val="24"/>
                <w:highlight w:val="none"/>
                <w:lang w:val="en-US" w:eastAsia="zh-CN"/>
              </w:rPr>
              <w:t>辐射</w:t>
            </w:r>
            <w:r>
              <w:rPr>
                <w:rFonts w:hint="eastAsia" w:ascii="仿宋_GB2312" w:hAnsi="仿宋_GB2312" w:eastAsia="仿宋_GB2312" w:cs="仿宋_GB2312"/>
                <w:color w:val="auto"/>
                <w:sz w:val="24"/>
                <w:szCs w:val="24"/>
                <w:highlight w:val="none"/>
              </w:rPr>
              <w:t>防护措施的落实情况。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西安、宝鸡、咸阳、铜川市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《中华人民共和国放射性污染防治法》《放射性同位素与射线装置安全和防护条例》《放射性同位素与射线装置安全许可管理办法》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对企事业单位生态环境统计填报数据进行核对</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综合处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日常生态环境统计工作开展情况、防范生态环境统计造假弄虚作假责任落实情况和年度环境监管重点单位名录制定情况。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渭南、</w:t>
            </w:r>
            <w:r>
              <w:rPr>
                <w:rFonts w:hint="eastAsia" w:ascii="仿宋_GB2312" w:hAnsi="仿宋_GB2312" w:eastAsia="仿宋_GB2312" w:cs="仿宋_GB2312"/>
                <w:color w:val="auto"/>
                <w:sz w:val="24"/>
                <w:szCs w:val="24"/>
                <w:lang w:val="en-US" w:eastAsia="zh-CN"/>
              </w:rPr>
              <w:t>铜川</w:t>
            </w:r>
            <w:r>
              <w:rPr>
                <w:rFonts w:hint="eastAsia" w:ascii="仿宋_GB2312" w:hAnsi="仿宋_GB2312" w:eastAsia="仿宋_GB2312" w:cs="仿宋_GB2312"/>
                <w:color w:val="auto"/>
                <w:sz w:val="24"/>
                <w:szCs w:val="24"/>
              </w:rPr>
              <w:t>、商洛市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统计法》《生态环境部办公厅关于防范生态环境统计造假弄虚作假有关责任的规定》《生态环境部统计管理办法》《环境监管重点单位名录管理办法》《生态环境部生态环境统计质量提升若干措施实施方案》（环办综合函〔2023〕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对本行政区域内各类自然保护</w:t>
            </w:r>
            <w:r>
              <w:rPr>
                <w:rFonts w:hint="eastAsia" w:ascii="仿宋_GB2312" w:hAnsi="仿宋_GB2312" w:eastAsia="仿宋_GB2312" w:cs="仿宋_GB2312"/>
                <w:color w:val="auto"/>
                <w:sz w:val="24"/>
                <w:szCs w:val="24"/>
                <w:highlight w:val="none"/>
                <w:lang w:eastAsia="zh-CN"/>
              </w:rPr>
              <w:t>地生态环境</w:t>
            </w:r>
            <w:r>
              <w:rPr>
                <w:rFonts w:hint="eastAsia" w:ascii="仿宋_GB2312" w:hAnsi="仿宋_GB2312" w:eastAsia="仿宋_GB2312" w:cs="仿宋_GB2312"/>
                <w:color w:val="auto"/>
                <w:sz w:val="24"/>
                <w:szCs w:val="24"/>
                <w:highlight w:val="none"/>
              </w:rPr>
              <w:t>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开展</w:t>
            </w:r>
            <w:r>
              <w:rPr>
                <w:rFonts w:hint="eastAsia" w:ascii="仿宋_GB2312" w:hAnsi="仿宋_GB2312" w:eastAsia="仿宋_GB2312" w:cs="仿宋_GB2312"/>
                <w:color w:val="auto"/>
                <w:sz w:val="24"/>
                <w:szCs w:val="24"/>
                <w:highlight w:val="none"/>
                <w:lang w:eastAsia="zh-CN"/>
              </w:rPr>
              <w:t>“绿盾”重要生态空间强化监督，</w:t>
            </w:r>
            <w:r>
              <w:rPr>
                <w:rFonts w:hint="eastAsia" w:ascii="仿宋_GB2312" w:hAnsi="仿宋_GB2312" w:eastAsia="仿宋_GB2312" w:cs="仿宋_GB2312"/>
                <w:color w:val="auto"/>
                <w:sz w:val="24"/>
                <w:szCs w:val="24"/>
                <w:highlight w:val="none"/>
                <w:lang w:val="en-US" w:eastAsia="zh-CN"/>
              </w:rPr>
              <w:t>检查</w:t>
            </w:r>
            <w:r>
              <w:rPr>
                <w:rFonts w:hint="eastAsia" w:ascii="仿宋_GB2312" w:hAnsi="仿宋_GB2312" w:eastAsia="仿宋_GB2312" w:cs="仿宋_GB2312"/>
                <w:color w:val="auto"/>
                <w:sz w:val="24"/>
                <w:szCs w:val="24"/>
                <w:highlight w:val="none"/>
              </w:rPr>
              <w:t>自然保护</w:t>
            </w:r>
            <w:r>
              <w:rPr>
                <w:rFonts w:hint="eastAsia" w:ascii="仿宋_GB2312" w:hAnsi="仿宋_GB2312" w:eastAsia="仿宋_GB2312" w:cs="仿宋_GB2312"/>
                <w:color w:val="auto"/>
                <w:sz w:val="24"/>
                <w:szCs w:val="24"/>
                <w:highlight w:val="none"/>
                <w:lang w:eastAsia="zh-CN"/>
              </w:rPr>
              <w:t>区、风景名胜区、自然公园等</w:t>
            </w:r>
            <w:r>
              <w:rPr>
                <w:rFonts w:hint="eastAsia" w:ascii="仿宋_GB2312" w:hAnsi="仿宋_GB2312" w:eastAsia="仿宋_GB2312" w:cs="仿宋_GB2312"/>
                <w:color w:val="auto"/>
                <w:sz w:val="24"/>
                <w:szCs w:val="24"/>
                <w:highlight w:val="none"/>
              </w:rPr>
              <w:t>日常监管、巡查等生态保护制度落实，</w:t>
            </w:r>
            <w:r>
              <w:rPr>
                <w:rFonts w:hint="eastAsia" w:ascii="仿宋_GB2312" w:hAnsi="仿宋_GB2312" w:eastAsia="仿宋_GB2312" w:cs="仿宋_GB2312"/>
                <w:color w:val="auto"/>
                <w:sz w:val="24"/>
                <w:szCs w:val="24"/>
                <w:highlight w:val="none"/>
                <w:lang w:eastAsia="zh-CN"/>
              </w:rPr>
              <w:t>重点生态环境问题</w:t>
            </w:r>
            <w:r>
              <w:rPr>
                <w:rFonts w:hint="eastAsia" w:ascii="仿宋_GB2312" w:hAnsi="仿宋_GB2312" w:eastAsia="仿宋_GB2312" w:cs="仿宋_GB2312"/>
                <w:color w:val="auto"/>
                <w:sz w:val="24"/>
                <w:szCs w:val="24"/>
                <w:highlight w:val="none"/>
              </w:rPr>
              <w:t>整治等情况。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汉中、安康、商洛市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《中华人民共和国自然保护区条例》《陕西省实施〈中华人民共和国自然保护区条例〉办法》</w:t>
            </w:r>
            <w:r>
              <w:rPr>
                <w:rFonts w:hint="eastAsia" w:ascii="仿宋_GB2312" w:hAnsi="仿宋_GB2312" w:eastAsia="仿宋_GB2312" w:cs="仿宋_GB2312"/>
                <w:color w:val="auto"/>
                <w:sz w:val="24"/>
                <w:szCs w:val="24"/>
                <w:highlight w:val="none"/>
                <w:lang w:eastAsia="zh-CN"/>
              </w:rPr>
              <w:t>《中华人民共和国风景名胜区条例》《国家级自然公园管理办法（试行）》</w:t>
            </w:r>
            <w:r>
              <w:rPr>
                <w:rFonts w:hint="eastAsia" w:ascii="仿宋_GB2312" w:hAnsi="仿宋_GB2312" w:eastAsia="仿宋_GB2312" w:cs="仿宋_GB2312"/>
                <w:color w:val="auto"/>
                <w:sz w:val="24"/>
                <w:szCs w:val="24"/>
                <w:highlight w:val="none"/>
              </w:rPr>
              <w:t>《关于进一步加强自然保护地生态环境保护执法协作的通知》（环办执法〔2025〕21号）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对企事业单位及其他生产经营者大气污染防治的行政检查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大气办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开展工业窑炉专项检查和臭氧污染防治措施落实情况。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《中华人民共和国大气污染防治法》《消耗臭氧层物质管理条例》《陕西省大气污染防治条例》《大气污染治理专项行动年度工作要点》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对企事业单位及其他生产经营者水污染防治的行政检查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bookmarkStart w:id="0" w:name="OLE_LINK3"/>
            <w:r>
              <w:rPr>
                <w:rFonts w:hint="eastAsia" w:ascii="仿宋_GB2312" w:hAnsi="仿宋_GB2312" w:eastAsia="仿宋_GB2312" w:cs="仿宋_GB2312"/>
                <w:sz w:val="24"/>
                <w:szCs w:val="24"/>
              </w:rPr>
              <w:t>执法总队</w:t>
            </w:r>
            <w:bookmarkEnd w:id="0"/>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造纸、乳制品制造行业企业环境管理制度落实、水污染防治设施运行及污染物达标排放等情况。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西安、宝鸡、咸阳、渭南市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《中华人民共和国水污染防治法》《陕西省渭河保护条例》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对城市饮用水水源保护区内的生态环境保护情况的行政检查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集中式饮用水水源地规范化建设和日常监管、巡查等制度落实以及</w:t>
            </w:r>
            <w:r>
              <w:rPr>
                <w:rFonts w:hint="eastAsia" w:ascii="仿宋_GB2312" w:hAnsi="仿宋_GB2312" w:eastAsia="仿宋_GB2312" w:cs="仿宋_GB2312"/>
                <w:color w:val="auto"/>
                <w:sz w:val="24"/>
                <w:szCs w:val="24"/>
                <w:lang w:eastAsia="zh"/>
              </w:rPr>
              <w:t>各</w:t>
            </w:r>
            <w:r>
              <w:rPr>
                <w:rFonts w:hint="eastAsia" w:ascii="仿宋_GB2312" w:hAnsi="仿宋_GB2312" w:eastAsia="仿宋_GB2312" w:cs="仿宋_GB2312"/>
                <w:color w:val="auto"/>
                <w:sz w:val="24"/>
                <w:szCs w:val="24"/>
              </w:rPr>
              <w:t>类环境问题整治等情况。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西安、咸阳、商洛</w:t>
            </w:r>
            <w:r>
              <w:rPr>
                <w:rFonts w:hint="eastAsia" w:ascii="仿宋_GB2312" w:hAnsi="仿宋_GB2312" w:eastAsia="仿宋_GB2312" w:cs="仿宋_GB2312"/>
                <w:color w:val="auto"/>
                <w:sz w:val="24"/>
                <w:szCs w:val="24"/>
                <w:lang w:val="en-US" w:eastAsia="zh-CN"/>
              </w:rPr>
              <w:t>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《中华人民共和国水污染防治法》《陕西省饮用水水源保护条例》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对土壤污染防治的行政检查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土壤污染重点监管单位土壤污染防治法定义务落实</w:t>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rPr>
              <w:t>。</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宝鸡、渭南、汉中、安康、商洛市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《中华人民共和国土壤污染防治法》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打击非法倾倒处置固体废物环境违法犯罪专项行动</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highlight w:val="none"/>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rPr>
              <w:t>非法排放、倾倒、处置废矿物油、废酸、废弃铅蓄电池等行为;非法排放、倾倒、处置副产盐酸等易制毒化学品行为;非法转移、倾倒、处置大宗工业固体废物行为;在重点保护区域排放、倾倒、处置危险废物，向城镇污水管网排放、倾倒危险废物;通过暗管、渗井、渗坑等逃避监管的方式排放、倾倒、处置危险废物。</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《中华人民共和国固体废物污染环境防治法》</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《严厉打击非法倾倒处置固体废物环境违法犯罪工作方案(2025-2027年)》（环办执法函〔2025〕130号）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712" w:type="dxa"/>
            <w:vMerge w:val="continue"/>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对伴生放射性矿开发利用</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铀矿资源调查</w:t>
            </w:r>
            <w:r>
              <w:rPr>
                <w:rFonts w:hint="eastAsia" w:ascii="仿宋_GB2312" w:hAnsi="仿宋_GB2312" w:eastAsia="仿宋_GB2312" w:cs="仿宋_GB2312"/>
                <w:color w:val="auto"/>
                <w:sz w:val="24"/>
                <w:szCs w:val="24"/>
                <w:highlight w:val="none"/>
                <w:lang w:val="en-US" w:eastAsia="zh-CN"/>
              </w:rPr>
              <w:t>过程中</w:t>
            </w:r>
            <w:r>
              <w:rPr>
                <w:rFonts w:hint="eastAsia" w:ascii="仿宋_GB2312" w:hAnsi="仿宋_GB2312" w:eastAsia="仿宋_GB2312" w:cs="仿宋_GB2312"/>
                <w:color w:val="auto"/>
                <w:sz w:val="24"/>
                <w:szCs w:val="24"/>
                <w:highlight w:val="none"/>
              </w:rPr>
              <w:t>的放射性污染防治的监督检查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辐射处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伴生放射性矿开发利用中的放射性污染防治情况、生态环境部委托</w:t>
            </w:r>
            <w:r>
              <w:rPr>
                <w:rFonts w:hint="eastAsia" w:ascii="仿宋_GB2312" w:hAnsi="仿宋_GB2312" w:eastAsia="仿宋_GB2312" w:cs="仿宋_GB2312"/>
                <w:color w:val="auto"/>
                <w:sz w:val="24"/>
                <w:szCs w:val="24"/>
                <w:highlight w:val="none"/>
                <w:lang w:val="en-US" w:eastAsia="zh-CN"/>
              </w:rPr>
              <w:t>我厅的</w:t>
            </w:r>
            <w:r>
              <w:rPr>
                <w:rFonts w:hint="eastAsia" w:ascii="仿宋_GB2312" w:hAnsi="仿宋_GB2312" w:eastAsia="仿宋_GB2312" w:cs="仿宋_GB2312"/>
                <w:color w:val="auto"/>
                <w:sz w:val="24"/>
                <w:szCs w:val="24"/>
                <w:highlight w:val="none"/>
              </w:rPr>
              <w:t>铀矿资源调查评价与勘查项目环境保护</w:t>
            </w:r>
            <w:r>
              <w:rPr>
                <w:rFonts w:hint="eastAsia" w:ascii="仿宋_GB2312" w:hAnsi="仿宋_GB2312" w:eastAsia="仿宋_GB2312" w:cs="仿宋_GB2312"/>
                <w:color w:val="auto"/>
                <w:sz w:val="24"/>
                <w:szCs w:val="24"/>
                <w:highlight w:val="none"/>
                <w:lang w:val="en-US" w:eastAsia="zh-CN"/>
              </w:rPr>
              <w:t>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宝鸡、咸阳、铜川、渭南、延安、榆林、安康、商洛市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《中华人民共和国放射性污染防治法》《放射性同位素与射线装置安全和防护条例》《放射性同位素与射线装置安全许可管理办法》《伴生放射性矿开发利用企业环境辐射监测及信息公开办法（试行）》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关于新疆塔里木盆地乌恰-尉犁地区铀矿资源调查评价与勘查项目等9个项目环境影响报告表的批复</w:t>
            </w:r>
            <w:r>
              <w:rPr>
                <w:rFonts w:hint="eastAsia" w:ascii="仿宋_GB2312" w:hAnsi="仿宋_GB2312" w:eastAsia="仿宋_GB2312" w:cs="仿宋_GB2312"/>
                <w:color w:val="auto"/>
                <w:sz w:val="24"/>
                <w:szCs w:val="24"/>
                <w:highlight w:val="none"/>
                <w:lang w:eastAsia="zh-CN"/>
              </w:rPr>
              <w:t>》（环审〔2022〕99号）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对环评技术机构开展监督抽查的行政检查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环评处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辐射处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环评技术机构和编制人员信息、环评质量控制制度建立和实施、环评相关档案建立和管理等情况的规范性。</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西安、咸阳、宝鸡、汉中、安康市和杨凌示范区</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《中华人民共和国环境影响评价法》《建设项目环境影响报告书（表）编制监督管理办法》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对涉黄河流域的市生态环境准入清单行政检查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环评处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企事业单位及其他生产经营者的生态环境准入清单落实情况。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西安、咸阳、宝鸡</w:t>
            </w:r>
            <w:r>
              <w:rPr>
                <w:rFonts w:hint="eastAsia" w:ascii="仿宋_GB2312" w:hAnsi="仿宋_GB2312" w:eastAsia="仿宋_GB2312" w:cs="仿宋_GB2312"/>
                <w:color w:val="auto"/>
                <w:sz w:val="24"/>
                <w:szCs w:val="24"/>
                <w:highlight w:val="none"/>
                <w:lang w:val="en-US" w:eastAsia="zh-CN"/>
              </w:rPr>
              <w:t>市和</w:t>
            </w:r>
            <w:r>
              <w:rPr>
                <w:rFonts w:hint="eastAsia" w:ascii="仿宋_GB2312" w:hAnsi="仿宋_GB2312" w:eastAsia="仿宋_GB2312" w:cs="仿宋_GB2312"/>
                <w:color w:val="auto"/>
                <w:sz w:val="24"/>
                <w:szCs w:val="24"/>
                <w:highlight w:val="none"/>
              </w:rPr>
              <w:t>杨凌示范区</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《中华人民共和国黄河保护法》《中共中央办公厅 国务院办公厅关于加强生态环境分区管控的意见》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对实行排污许可管理的企事业单位及其</w:t>
            </w:r>
            <w:r>
              <w:rPr>
                <w:rFonts w:hint="eastAsia" w:ascii="仿宋_GB2312" w:hAnsi="仿宋_GB2312" w:eastAsia="仿宋_GB2312" w:cs="仿宋_GB2312"/>
                <w:color w:val="auto"/>
                <w:sz w:val="24"/>
                <w:szCs w:val="24"/>
                <w:highlight w:val="none"/>
                <w:lang w:eastAsia="zh-CN"/>
              </w:rPr>
              <w:t>委托的监测技术服务机构</w:t>
            </w:r>
            <w:r>
              <w:rPr>
                <w:rFonts w:hint="eastAsia" w:ascii="仿宋_GB2312" w:hAnsi="仿宋_GB2312" w:eastAsia="仿宋_GB2312" w:cs="仿宋_GB2312"/>
                <w:color w:val="auto"/>
                <w:sz w:val="24"/>
                <w:szCs w:val="24"/>
                <w:highlight w:val="none"/>
              </w:rPr>
              <w:t>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监测处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污单位自行</w:t>
            </w:r>
            <w:r>
              <w:rPr>
                <w:rFonts w:hint="eastAsia" w:ascii="仿宋_GB2312" w:hAnsi="仿宋_GB2312" w:eastAsia="仿宋_GB2312" w:cs="仿宋_GB2312"/>
                <w:color w:val="auto"/>
                <w:sz w:val="24"/>
                <w:szCs w:val="24"/>
                <w:highlight w:val="none"/>
                <w:lang w:eastAsia="zh-CN"/>
              </w:rPr>
              <w:t>监测检查（含监督监测）；排污许可管理重点单位</w:t>
            </w:r>
            <w:r>
              <w:rPr>
                <w:rFonts w:hint="eastAsia" w:ascii="仿宋_GB2312" w:hAnsi="仿宋_GB2312" w:eastAsia="仿宋_GB2312" w:cs="仿宋_GB2312"/>
                <w:color w:val="auto"/>
                <w:sz w:val="24"/>
                <w:szCs w:val="24"/>
                <w:highlight w:val="none"/>
                <w:lang w:eastAsia="zh"/>
              </w:rPr>
              <w:t>安</w:t>
            </w:r>
            <w:r>
              <w:rPr>
                <w:rFonts w:hint="eastAsia" w:ascii="仿宋_GB2312" w:hAnsi="仿宋_GB2312" w:eastAsia="仿宋_GB2312" w:cs="仿宋_GB2312"/>
                <w:color w:val="auto"/>
                <w:sz w:val="24"/>
                <w:szCs w:val="24"/>
                <w:highlight w:val="none"/>
                <w:lang w:eastAsia="zh-CN"/>
              </w:rPr>
              <w:t>装视频监控并联网检查；采样平台（点位）与监测孔规范化建设情况检查；自动监测设备规范性排查；自动监测运维规范性</w:t>
            </w:r>
            <w:r>
              <w:rPr>
                <w:rFonts w:hint="eastAsia" w:ascii="仿宋_GB2312" w:hAnsi="仿宋_GB2312" w:eastAsia="仿宋_GB2312" w:cs="仿宋_GB2312"/>
                <w:color w:val="auto"/>
                <w:sz w:val="24"/>
                <w:szCs w:val="24"/>
                <w:highlight w:val="none"/>
                <w:lang w:val="en-US" w:eastAsia="zh-CN"/>
              </w:rPr>
              <w:t>检查</w:t>
            </w:r>
            <w:r>
              <w:rPr>
                <w:rFonts w:hint="eastAsia" w:ascii="仿宋_GB2312" w:hAnsi="仿宋_GB2312" w:eastAsia="仿宋_GB2312" w:cs="仿宋_GB2312"/>
                <w:color w:val="auto"/>
                <w:sz w:val="24"/>
                <w:szCs w:val="24"/>
                <w:highlight w:val="none"/>
                <w:lang w:eastAsia="zh-CN"/>
              </w:rPr>
              <w:t>。必要时延伸至环境监测技术服务机构。</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西安、咸阳、宝鸡、汉中、安康市</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杨凌示范区</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《生态环境监测条例》《排污许可管理条例》</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《陕西省生态环境监测服务监督管理规定》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712"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对项目建设过程中实施环境影响评价文件以及审批意见提出的环境保护措施的落实情况的检查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执法局</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在2026年度建设项目竣工环境保护验收效果评估资料审查及专家评估阶段发现的问题、对于建设项目“三同时”及自主验收监督管理检查范围及频次的落实情况和有关文件要求的具体落实情况。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根据2026年度建设项目竣工环境保护验收效果评估资料审查及专家评估阶段问题情况确定</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项目环境保护管理条例》《建设项目竣工环境保护验收暂行办法》《关于进一步完善建设项目环境保护“三同时”及竣工环境保护自主验收监管工作机制的意见》（环执法〔2021〕70号）《关于严惩弄虚作假行为加强建设项目竣工环境保护自主验收监督执法工作工作的通知》（环办执法〔2022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对企事业单位生态环境统计填报数据进行核对</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综合处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日常生态环境统计工作开展情况、防范生态环境统计造假弄虚作假责任落实情况和年度环境监管重点单位名录制定情况。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西安、咸阳、延安、榆林市和杨凌示范区</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统计法》《生态环境部统计管理办法》《环境监管重点单位名录管理办法》《生态环境部办公厅关于防范生态环境统计造假弄虚作假有关责任的规定》《生态环境部生态环境统计质量提升若干措施实施方案》（环办综合函〔2023〕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对本行政区域内各类自然保护</w:t>
            </w:r>
            <w:r>
              <w:rPr>
                <w:rFonts w:hint="eastAsia" w:ascii="仿宋_GB2312" w:hAnsi="仿宋_GB2312" w:eastAsia="仿宋_GB2312" w:cs="仿宋_GB2312"/>
                <w:color w:val="auto"/>
                <w:sz w:val="24"/>
                <w:szCs w:val="24"/>
                <w:highlight w:val="none"/>
                <w:lang w:eastAsia="zh-CN"/>
              </w:rPr>
              <w:t>地生态环境</w:t>
            </w:r>
            <w:r>
              <w:rPr>
                <w:rFonts w:hint="eastAsia" w:ascii="仿宋_GB2312" w:hAnsi="仿宋_GB2312" w:eastAsia="仿宋_GB2312" w:cs="仿宋_GB2312"/>
                <w:color w:val="auto"/>
                <w:sz w:val="24"/>
                <w:szCs w:val="24"/>
                <w:highlight w:val="none"/>
              </w:rPr>
              <w:t>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开展</w:t>
            </w:r>
            <w:r>
              <w:rPr>
                <w:rFonts w:hint="eastAsia" w:ascii="仿宋_GB2312" w:hAnsi="仿宋_GB2312" w:eastAsia="仿宋_GB2312" w:cs="仿宋_GB2312"/>
                <w:color w:val="auto"/>
                <w:sz w:val="24"/>
                <w:szCs w:val="24"/>
                <w:highlight w:val="none"/>
                <w:lang w:eastAsia="zh-CN"/>
              </w:rPr>
              <w:t>“绿盾”重要生态空间强化监督，</w:t>
            </w:r>
            <w:r>
              <w:rPr>
                <w:rFonts w:hint="eastAsia" w:ascii="仿宋_GB2312" w:hAnsi="仿宋_GB2312" w:eastAsia="仿宋_GB2312" w:cs="仿宋_GB2312"/>
                <w:color w:val="auto"/>
                <w:sz w:val="24"/>
                <w:szCs w:val="24"/>
                <w:highlight w:val="none"/>
                <w:lang w:val="en-US" w:eastAsia="zh-CN"/>
              </w:rPr>
              <w:t>检查</w:t>
            </w:r>
            <w:r>
              <w:rPr>
                <w:rFonts w:hint="eastAsia" w:ascii="仿宋_GB2312" w:hAnsi="仿宋_GB2312" w:eastAsia="仿宋_GB2312" w:cs="仿宋_GB2312"/>
                <w:color w:val="auto"/>
                <w:sz w:val="24"/>
                <w:szCs w:val="24"/>
                <w:highlight w:val="none"/>
              </w:rPr>
              <w:t>自然保护</w:t>
            </w:r>
            <w:r>
              <w:rPr>
                <w:rFonts w:hint="eastAsia" w:ascii="仿宋_GB2312" w:hAnsi="仿宋_GB2312" w:eastAsia="仿宋_GB2312" w:cs="仿宋_GB2312"/>
                <w:color w:val="auto"/>
                <w:sz w:val="24"/>
                <w:szCs w:val="24"/>
                <w:highlight w:val="none"/>
                <w:lang w:eastAsia="zh-CN"/>
              </w:rPr>
              <w:t>区、风景名胜区、自然公园等</w:t>
            </w:r>
            <w:r>
              <w:rPr>
                <w:rFonts w:hint="eastAsia" w:ascii="仿宋_GB2312" w:hAnsi="仿宋_GB2312" w:eastAsia="仿宋_GB2312" w:cs="仿宋_GB2312"/>
                <w:color w:val="auto"/>
                <w:sz w:val="24"/>
                <w:szCs w:val="24"/>
                <w:highlight w:val="none"/>
              </w:rPr>
              <w:t>日常监管、巡查等生态保护制度落实，</w:t>
            </w:r>
            <w:r>
              <w:rPr>
                <w:rFonts w:hint="eastAsia" w:ascii="仿宋_GB2312" w:hAnsi="仿宋_GB2312" w:eastAsia="仿宋_GB2312" w:cs="仿宋_GB2312"/>
                <w:color w:val="auto"/>
                <w:sz w:val="24"/>
                <w:szCs w:val="24"/>
                <w:highlight w:val="none"/>
                <w:lang w:eastAsia="zh-CN"/>
              </w:rPr>
              <w:t>重点生态环境问题</w:t>
            </w:r>
            <w:r>
              <w:rPr>
                <w:rFonts w:hint="eastAsia" w:ascii="仿宋_GB2312" w:hAnsi="仿宋_GB2312" w:eastAsia="仿宋_GB2312" w:cs="仿宋_GB2312"/>
                <w:color w:val="auto"/>
                <w:sz w:val="24"/>
                <w:szCs w:val="24"/>
                <w:highlight w:val="none"/>
              </w:rPr>
              <w:t>整治等情况。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宝鸡、铜川、渭南、汉中、延安、榆林市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《中华人民共和国自然保护区条例》《陕西省实施〈中华人民共和国自然保护区条例〉办法》</w:t>
            </w:r>
            <w:r>
              <w:rPr>
                <w:rFonts w:hint="eastAsia" w:ascii="仿宋_GB2312" w:hAnsi="仿宋_GB2312" w:eastAsia="仿宋_GB2312" w:cs="仿宋_GB2312"/>
                <w:color w:val="auto"/>
                <w:sz w:val="24"/>
                <w:szCs w:val="24"/>
                <w:highlight w:val="none"/>
                <w:lang w:eastAsia="zh-CN"/>
              </w:rPr>
              <w:t>《中华人民共和国风景名胜区条例》《国家级自然公园管理办法（试行）》</w:t>
            </w:r>
            <w:r>
              <w:rPr>
                <w:rFonts w:hint="eastAsia" w:ascii="仿宋_GB2312" w:hAnsi="仿宋_GB2312" w:eastAsia="仿宋_GB2312" w:cs="仿宋_GB2312"/>
                <w:color w:val="auto"/>
                <w:sz w:val="24"/>
                <w:szCs w:val="24"/>
                <w:highlight w:val="none"/>
              </w:rPr>
              <w:t>《关于进一步加强自然保护地生态环境保护执法协作的通知》（环办执法〔2025〕21号）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对企事业单位及其他生产经营者大气污染防治的行政检查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大气办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开展环保绩效D级企业大气污染防治设施建设运行情况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挥发性有机物污染防治专项执法检查和对生态环境部2025年《国家污染防治技术指导目录》公布的涉及“低效类技术”企业开展排查。</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《中华人民共和国大气污染防治法》《陕西省大气污染防治条例》《大气污染治理专项行动年度工作要点》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对企事业单位及其他生产经营者水污染防治的行政检查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水处</w:t>
            </w:r>
            <w:r>
              <w:rPr>
                <w:rFonts w:hint="eastAsia" w:ascii="仿宋_GB2312" w:hAnsi="仿宋_GB2312" w:eastAsia="仿宋_GB2312" w:cs="仿宋_GB2312"/>
                <w:color w:val="auto"/>
                <w:sz w:val="24"/>
                <w:szCs w:val="24"/>
                <w:lang w:eastAsia="zh-CN"/>
              </w:rPr>
              <w:t>牵头，评估中心、环科院、监测站配合</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排污口排查整治进展和设置审批备案情况、县城黑臭水体排查和整治情况</w:t>
            </w:r>
            <w:r>
              <w:rPr>
                <w:rFonts w:hint="eastAsia" w:ascii="仿宋_GB2312" w:hAnsi="仿宋_GB2312" w:eastAsia="仿宋_GB2312" w:cs="仿宋_GB2312"/>
                <w:sz w:val="24"/>
                <w:szCs w:val="24"/>
                <w:lang w:eastAsia="zh-CN"/>
              </w:rPr>
              <w:t>。</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《“十四五”城市黑臭水体整治环境保护行动方案》《关于贯彻落实&lt;国务院办公厅关于加强入河入海排污口监督管理工作的实施意见&gt;的通知》（环办水体〔2022〕34号）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bookmarkStart w:id="1" w:name="OLE_LINK2"/>
            <w:r>
              <w:rPr>
                <w:rFonts w:hint="eastAsia" w:ascii="仿宋_GB2312" w:hAnsi="仿宋_GB2312" w:eastAsia="仿宋_GB2312" w:cs="仿宋_GB2312"/>
                <w:sz w:val="24"/>
                <w:szCs w:val="24"/>
              </w:rPr>
              <w:t>三季度</w:t>
            </w:r>
            <w:bookmarkEnd w:id="1"/>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对城市饮用水水源保护区内的生态环境保护情况的行政检查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集中式饮用水水源地规范化建设和日常监管、巡查等制度落实以及个类环境问题整治等情况。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宝鸡、铜川、渭南、</w:t>
            </w:r>
            <w:r>
              <w:rPr>
                <w:rFonts w:hint="eastAsia" w:ascii="仿宋_GB2312" w:hAnsi="仿宋_GB2312" w:eastAsia="仿宋_GB2312" w:cs="仿宋_GB2312"/>
                <w:sz w:val="24"/>
                <w:szCs w:val="24"/>
              </w:rPr>
              <w:t>汉中</w:t>
            </w:r>
            <w:r>
              <w:rPr>
                <w:rFonts w:hint="eastAsia" w:ascii="仿宋_GB2312" w:hAnsi="仿宋_GB2312" w:eastAsia="仿宋_GB2312" w:cs="仿宋_GB2312"/>
                <w:sz w:val="24"/>
                <w:szCs w:val="24"/>
                <w:lang w:val="en-US" w:eastAsia="zh-CN"/>
              </w:rPr>
              <w:t>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《中华人民共和国水污染防治法》《陕西省饮用水水源保护条例》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对土壤污染防治的行政检查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土壤处</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土壤污染重点监管单位土壤污染防治法定义务落实</w:t>
            </w:r>
            <w:r>
              <w:rPr>
                <w:rFonts w:hint="eastAsia" w:ascii="仿宋_GB2312" w:hAnsi="仿宋_GB2312" w:eastAsia="仿宋_GB2312" w:cs="仿宋_GB2312"/>
                <w:sz w:val="24"/>
                <w:szCs w:val="24"/>
                <w:lang w:val="en-US" w:eastAsia="zh-CN"/>
              </w:rPr>
              <w:t>情况和</w:t>
            </w:r>
            <w:r>
              <w:rPr>
                <w:rFonts w:hint="eastAsia" w:ascii="仿宋_GB2312" w:hAnsi="仿宋_GB2312" w:eastAsia="仿宋_GB2312" w:cs="仿宋_GB2312"/>
                <w:color w:val="auto"/>
                <w:sz w:val="24"/>
                <w:szCs w:val="24"/>
                <w:lang w:val="en-US" w:eastAsia="zh-CN"/>
              </w:rPr>
              <w:t>规模畜禽养殖污染防治情况。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铜川、延安、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榆林市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《中华人民共和国土壤污染防治法》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规模畜禽养殖污染防治条例》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712" w:type="dxa"/>
            <w:vMerge w:val="continue"/>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0000FF"/>
                <w:sz w:val="24"/>
                <w:szCs w:val="24"/>
                <w:highlight w:val="none"/>
              </w:rPr>
            </w:pPr>
            <w:r>
              <w:rPr>
                <w:rFonts w:hint="eastAsia" w:ascii="仿宋_GB2312" w:hAnsi="仿宋_GB2312" w:eastAsia="仿宋_GB2312" w:cs="仿宋_GB2312"/>
                <w:sz w:val="24"/>
                <w:szCs w:val="24"/>
                <w:highlight w:val="none"/>
              </w:rPr>
              <w:t>对生产、销售、使用放射性同位素和射线装置</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单位</w:t>
            </w:r>
            <w:r>
              <w:rPr>
                <w:rFonts w:hint="eastAsia" w:ascii="仿宋_GB2312" w:hAnsi="仿宋_GB2312" w:eastAsia="仿宋_GB2312" w:cs="仿宋_GB2312"/>
                <w:sz w:val="24"/>
                <w:szCs w:val="24"/>
                <w:highlight w:val="none"/>
                <w:lang w:val="en-US" w:eastAsia="zh-CN"/>
              </w:rPr>
              <w:t>及电磁辐射设施设备</w:t>
            </w:r>
            <w:r>
              <w:rPr>
                <w:rFonts w:hint="eastAsia" w:ascii="仿宋_GB2312" w:hAnsi="仿宋_GB2312" w:eastAsia="仿宋_GB2312" w:cs="仿宋_GB2312"/>
                <w:sz w:val="24"/>
                <w:szCs w:val="24"/>
                <w:highlight w:val="none"/>
              </w:rPr>
              <w:t>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0000FF"/>
                <w:sz w:val="24"/>
                <w:szCs w:val="24"/>
                <w:highlight w:val="none"/>
              </w:rPr>
            </w:pPr>
            <w:r>
              <w:rPr>
                <w:rFonts w:hint="eastAsia" w:ascii="仿宋_GB2312" w:hAnsi="仿宋_GB2312" w:eastAsia="仿宋_GB2312" w:cs="仿宋_GB2312"/>
                <w:color w:val="auto"/>
                <w:sz w:val="24"/>
                <w:szCs w:val="24"/>
                <w:highlight w:val="none"/>
                <w:shd w:val="clear" w:color="auto" w:fill="auto"/>
              </w:rPr>
              <w:t>辐射处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0000FF"/>
                <w:sz w:val="24"/>
                <w:szCs w:val="24"/>
                <w:highlight w:val="none"/>
              </w:rPr>
            </w:pPr>
            <w:r>
              <w:rPr>
                <w:rFonts w:hint="eastAsia" w:ascii="仿宋_GB2312" w:hAnsi="仿宋_GB2312" w:eastAsia="仿宋_GB2312" w:cs="仿宋_GB2312"/>
                <w:sz w:val="24"/>
                <w:szCs w:val="24"/>
                <w:highlight w:val="none"/>
              </w:rPr>
              <w:t>重点监管核技术利用单位辐射安全管理情况检查，包含：伽玛射线探伤单位现场作业的辐射安全管理及防护措施落实情况，放射性测井单位现场测井辐射安全防护、源库管理情况和医院及放药生产销售单位辐射安全管理及</w:t>
            </w:r>
            <w:r>
              <w:rPr>
                <w:rFonts w:hint="eastAsia" w:ascii="仿宋_GB2312" w:hAnsi="仿宋_GB2312" w:eastAsia="仿宋_GB2312" w:cs="仿宋_GB2312"/>
                <w:sz w:val="24"/>
                <w:szCs w:val="24"/>
                <w:highlight w:val="none"/>
                <w:lang w:val="en-US" w:eastAsia="zh-CN"/>
              </w:rPr>
              <w:t>辐射</w:t>
            </w:r>
            <w:r>
              <w:rPr>
                <w:rFonts w:hint="eastAsia" w:ascii="仿宋_GB2312" w:hAnsi="仿宋_GB2312" w:eastAsia="仿宋_GB2312" w:cs="仿宋_GB2312"/>
                <w:sz w:val="24"/>
                <w:szCs w:val="24"/>
                <w:highlight w:val="none"/>
              </w:rPr>
              <w:t>防护措施的落实情况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通信基站备案手续和监测完成情况。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《中华人民共和国放射性污染防治法》 《放射性同位素与射线装置安全和防护条例》《放射性同位素与射线装置安全许可管理办法》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通讯基站环境保护工作备忘录</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对环评技术机构开展监督抽查的行政检查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环评处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辐射处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环评技术机构和编制人员信息、环评质量控制制度建立和实施、环评相关档案建立和管理等情况的规范性。</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延安、榆林、铜川、渭南、商洛市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《中华人民共和国环境影响评价法》《建设项目环境影响报告书（表）编制监督管理办法》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对涉黄河流域的市生态环境准入清单行政检查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环评处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企事业单位及其他生产经营者的生态环境准入清单落实情况。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延安、榆林、铜川、渭南</w:t>
            </w:r>
            <w:r>
              <w:rPr>
                <w:rFonts w:hint="eastAsia" w:ascii="仿宋_GB2312" w:hAnsi="仿宋_GB2312" w:eastAsia="仿宋_GB2312" w:cs="仿宋_GB2312"/>
                <w:sz w:val="24"/>
                <w:szCs w:val="24"/>
                <w:lang w:val="en-US" w:eastAsia="zh-CN"/>
              </w:rPr>
              <w:t>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《中华人民共和国黄河保护法》《中共中央办公厅 国务院办公厅关于加强生态环境分区管控的意见》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对实行排污许可管理的企事业单位及其</w:t>
            </w:r>
            <w:r>
              <w:rPr>
                <w:rFonts w:hint="eastAsia" w:ascii="仿宋_GB2312" w:hAnsi="仿宋_GB2312" w:eastAsia="仿宋_GB2312" w:cs="仿宋_GB2312"/>
                <w:color w:val="auto"/>
                <w:sz w:val="24"/>
                <w:szCs w:val="24"/>
                <w:highlight w:val="none"/>
                <w:lang w:eastAsia="zh-CN"/>
              </w:rPr>
              <w:t>委托的监测技术服务机构</w:t>
            </w:r>
            <w:r>
              <w:rPr>
                <w:rFonts w:hint="eastAsia" w:ascii="仿宋_GB2312" w:hAnsi="仿宋_GB2312" w:eastAsia="仿宋_GB2312" w:cs="仿宋_GB2312"/>
                <w:color w:val="auto"/>
                <w:sz w:val="24"/>
                <w:szCs w:val="24"/>
                <w:highlight w:val="none"/>
              </w:rPr>
              <w:t>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监测处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排污单位自行</w:t>
            </w:r>
            <w:r>
              <w:rPr>
                <w:rFonts w:hint="eastAsia" w:ascii="仿宋_GB2312" w:hAnsi="仿宋_GB2312" w:eastAsia="仿宋_GB2312" w:cs="仿宋_GB2312"/>
                <w:color w:val="auto"/>
                <w:sz w:val="24"/>
                <w:szCs w:val="24"/>
                <w:highlight w:val="none"/>
                <w:lang w:eastAsia="zh-CN"/>
              </w:rPr>
              <w:t>监测检查（含监督监测）；排污许可管理重点单位装视频监控并联网检查；采样平台（点位）与监测孔规范化建设情况检查；自动监测设备规范性排查；自动监测运维规范性</w:t>
            </w:r>
            <w:r>
              <w:rPr>
                <w:rFonts w:hint="eastAsia" w:ascii="仿宋_GB2312" w:hAnsi="仿宋_GB2312" w:eastAsia="仿宋_GB2312" w:cs="仿宋_GB2312"/>
                <w:color w:val="auto"/>
                <w:sz w:val="24"/>
                <w:szCs w:val="24"/>
                <w:highlight w:val="none"/>
                <w:lang w:val="en-US" w:eastAsia="zh-CN"/>
              </w:rPr>
              <w:t>检查</w:t>
            </w:r>
            <w:r>
              <w:rPr>
                <w:rFonts w:hint="eastAsia" w:ascii="仿宋_GB2312" w:hAnsi="仿宋_GB2312" w:eastAsia="仿宋_GB2312" w:cs="仿宋_GB2312"/>
                <w:color w:val="auto"/>
                <w:sz w:val="24"/>
                <w:szCs w:val="24"/>
                <w:highlight w:val="none"/>
                <w:lang w:eastAsia="zh-CN"/>
              </w:rPr>
              <w:t>。必要时延伸至环境监测技术服务机构。</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延安、榆林、铜川、渭南、商洛市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《生态环境监测条例》《排污许可管理条例》《陕西省生态环境监测服务监督管理规定》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秦岭生态保护执法检查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执法局</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重点检查中省生态环境保护督察反馈涉秦岭问题整改落实情况，《陕西省秦岭生态环境保护突出问题动态台账》问题整改情况和群众投诉、媒体舆论、信访举报、领导批办涉秦岭生态环境问题查办情况。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西安、宝鸡、渭南、汉中、安康、商洛市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《陕西省秦岭生态环境保护条例》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712" w:type="dxa"/>
            <w:vMerge w:val="continue"/>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对项目建设过程中实施环境影响评价文件以及审批意见提出的环境保护措施的落实情况的检查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执法局</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在2026年度建设项目竣工环境保护验收效果评估资料审查及专家评估阶段发现的问题、对于建设项目“三同时”及自主验收监督管理检查范围及频次的落实情况和有关文件要求的具体落实情况。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根据2026年度建设项目竣工环境保护验收效果评估资料审查及专家评估阶段问题情况确定</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项目环境保护管理条例》《建设项目竣工环境保护验收暂行办法》《关于进一步完善建设项目环境保护“三同时”及竣工环境保护自主验收监管工作机制的意见》（环执法〔2021〕70号）《关于严惩弄虚作假行为加强建设项目竣工环境保护自主验收监督执法工作的通知》（环办执法〔2022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对企事业单位生态环境统计填报数据进行核对</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综合处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日常生态环境统计工作开展情况、防范生态环境统计造假弄虚作假责任落实情况和年度环境监管重点单位名录制定情况。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宝鸡、汉中、安康市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统计法》《生态环境部统计管理办法》《环境监管重点单位名录管理办法》《生态环境部办公厅关于防范生态环境统计造假弄虚作假有关责任的规定》《生态环境部生态环境统计质量提升若干措施实施方案》（环办综合函〔2023〕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1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对企事业单位及其他生产经营者大气污染防治的行政检查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大气办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重污染天气应急响应措施落实情况。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关中各市区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和汉中市</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《中华人民共和国大气污染防治法》《陕西省大气污染防治条例》《大气污染治理专项行动年度工作要点》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712" w:type="dxa"/>
            <w:vMerge w:val="continue"/>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firstLine="267" w:firstLineChars="0"/>
              <w:jc w:val="center"/>
              <w:textAlignment w:val="auto"/>
              <w:outlineLvl w:val="9"/>
              <w:rPr>
                <w:rFonts w:hint="default"/>
                <w:lang w:val="en-US" w:eastAsia="zh-CN"/>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对企事业单位及其他生产经营者水污染防治的行政检查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水处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工业园区污水处理设施建设和运行情况</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化学药品制造行业企业环境管理制度落实、水污染防治设施运行及污染物达标排放等情况。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《中华人民共和国水污染防治法》《陕西省渭河保护条例》《关于印发&lt;陕西省工业园区水污染整治工作方案&gt;的通知》（陕环发〔2024〕4号）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2" w:type="dxa"/>
            <w:vMerge w:val="restart"/>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2"/>
                <w:lang w:val="en-US" w:eastAsia="zh-CN"/>
              </w:rPr>
              <w:t>四季度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非法倾倒处置固体废物问题整改成效复核</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固体处</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重点复核各市（区）排查发现非法倾倒处置固体废物问题整改成效。</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中华人民共和国固体废物污染环境防治法》《全国非法倾倒处置固体废物专项整治行动方案（2025-2027）</w:t>
            </w:r>
            <w:r>
              <w:rPr>
                <w:rFonts w:hint="eastAsia" w:ascii="仿宋_GB2312" w:hAnsi="仿宋_GB2312" w:eastAsia="仿宋_GB2312" w:cs="仿宋_GB2312"/>
                <w:sz w:val="24"/>
                <w:szCs w:val="24"/>
                <w:highlight w:val="none"/>
                <w:lang w:val="en-US" w:eastAsia="zh"/>
              </w:rPr>
              <w:t>》</w:t>
            </w:r>
            <w:r>
              <w:rPr>
                <w:rFonts w:hint="eastAsia" w:ascii="仿宋_GB2312" w:hAnsi="仿宋_GB2312" w:eastAsia="仿宋_GB2312" w:cs="仿宋_GB2312"/>
                <w:sz w:val="24"/>
                <w:szCs w:val="24"/>
                <w:highlight w:val="none"/>
                <w:lang w:val="en-US" w:eastAsia="zh-CN"/>
              </w:rPr>
              <w:t>（环固体〔2025〕45号）《陕西省非法倾倒处置固体废物专项整治行动实施方案（2025-2027）》（陕环固体〔2025〕101号）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对生产、销售、使用放射性同位素和射线装置单位的监督检查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开展核与辐射执法检查，重点对73家省级审批项目进行抽查，检查辐射安全自查情况、辐射安全法规执行情况、辐射安全防护设施与运行（需抽查部分探伤工作场所或γ探伤机）和管理制度执行情况。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bookmarkStart w:id="2" w:name="OLE_LINK1"/>
            <w:r>
              <w:rPr>
                <w:rFonts w:hint="eastAsia" w:ascii="仿宋_GB2312" w:hAnsi="仿宋_GB2312" w:eastAsia="仿宋_GB2312" w:cs="仿宋_GB2312"/>
                <w:sz w:val="24"/>
                <w:szCs w:val="24"/>
              </w:rPr>
              <w:t>全省</w:t>
            </w:r>
            <w:bookmarkEnd w:id="2"/>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《中华人民共和国放射性污染防治法》《放射性同位素与射线装置安全和防护条例》《放射性同位素与射线装置安全许可管理办法》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对重点排放单位等交易主体、技术服务机构进行现场检查</w:t>
            </w:r>
          </w:p>
        </w:tc>
        <w:tc>
          <w:tcPr>
            <w:tcW w:w="13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执法总队</w:t>
            </w:r>
          </w:p>
        </w:tc>
        <w:tc>
          <w:tcPr>
            <w:tcW w:w="44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开展控排企业碳排放报告质量问题抽查，查看企业数据质量控制计划；开展企业边界核查、计量设备鉴定，以及排放量核算核查、排放因子核查。</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全省</w:t>
            </w:r>
          </w:p>
        </w:tc>
        <w:tc>
          <w:tcPr>
            <w:tcW w:w="498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《碳排放权交易管理暂行条例》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142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1.实施检查的行政主体为陕西省生态环境厅。</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.排污许可、环境影响评价等业务工作涉及的现场踏勘等事项，未列入行政检查计划。</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.每季度</w:t>
            </w:r>
            <w:r>
              <w:rPr>
                <w:rFonts w:hint="eastAsia" w:ascii="仿宋_GB2312" w:hAnsi="仿宋_GB2312" w:eastAsia="仿宋_GB2312" w:cs="仿宋_GB2312"/>
                <w:sz w:val="24"/>
                <w:szCs w:val="24"/>
                <w:lang w:val="en-US" w:eastAsia="zh-CN"/>
              </w:rPr>
              <w:t>统筹</w:t>
            </w:r>
            <w:r>
              <w:rPr>
                <w:rFonts w:hint="eastAsia" w:ascii="仿宋_GB2312" w:hAnsi="仿宋_GB2312" w:eastAsia="仿宋_GB2312" w:cs="仿宋_GB2312"/>
                <w:sz w:val="24"/>
                <w:szCs w:val="24"/>
              </w:rPr>
              <w:t>开展一次</w:t>
            </w:r>
            <w:r>
              <w:rPr>
                <w:rFonts w:hint="eastAsia" w:ascii="仿宋_GB2312" w:hAnsi="仿宋_GB2312" w:eastAsia="仿宋_GB2312" w:cs="仿宋_GB2312"/>
                <w:sz w:val="24"/>
                <w:szCs w:val="24"/>
                <w:lang w:val="en-US" w:eastAsia="zh-CN"/>
              </w:rPr>
              <w:t>生态环境</w:t>
            </w:r>
            <w:r>
              <w:rPr>
                <w:rFonts w:hint="eastAsia" w:ascii="仿宋_GB2312" w:hAnsi="仿宋_GB2312" w:eastAsia="仿宋_GB2312" w:cs="仿宋_GB2312"/>
                <w:sz w:val="24"/>
                <w:szCs w:val="24"/>
              </w:rPr>
              <w:t>强化监督，每次不超过10天。</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.年度内对同一检查对象实施行政检查不超过2次（不受频次上限限制情形除外）。</w:t>
            </w: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仿宋_GB2312" w:hAnsi="仿宋_GB2312" w:eastAsia="仿宋_GB2312" w:cs="仿宋_GB2312"/>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1588" w:bottom="1474" w:left="1588" w:header="885" w:footer="1361" w:gutter="0"/>
      <w:pgNumType w:fmt="decimal" w:chapStyle="1"/>
      <w:cols w:space="720" w:num="1"/>
      <w:rtlGutter w:val="0"/>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6"/>
                              <w:rFonts w:ascii="宋体" w:hAnsi="宋体"/>
                              <w:sz w:val="28"/>
                              <w:szCs w:val="28"/>
                            </w:rPr>
                          </w:pPr>
                          <w:r>
                            <w:rPr>
                              <w:rStyle w:val="6"/>
                              <w:rFonts w:hint="eastAsia" w:ascii="宋体" w:hAnsi="宋体"/>
                              <w:sz w:val="28"/>
                              <w:szCs w:val="28"/>
                            </w:rPr>
                            <w:t>—</w:t>
                          </w:r>
                          <w:r>
                            <w:rPr>
                              <w:rStyle w:val="6"/>
                              <w:rFonts w:hint="eastAsia" w:ascii="宋体" w:hAnsi="宋体"/>
                              <w:sz w:val="28"/>
                              <w:szCs w:val="28"/>
                              <w:lang w:val="en-US" w:eastAsia="zh-CN"/>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5</w:t>
                          </w:r>
                          <w:r>
                            <w:rPr>
                              <w:rStyle w:val="6"/>
                              <w:rFonts w:ascii="宋体" w:hAnsi="宋体"/>
                              <w:sz w:val="28"/>
                              <w:szCs w:val="28"/>
                            </w:rPr>
                            <w:fldChar w:fldCharType="end"/>
                          </w:r>
                          <w:r>
                            <w:rPr>
                              <w:rStyle w:val="6"/>
                              <w:rFonts w:hint="eastAsia" w:ascii="宋体" w:hAnsi="宋体"/>
                              <w:sz w:val="28"/>
                              <w:szCs w:val="28"/>
                              <w:lang w:val="en-US" w:eastAsia="zh-CN"/>
                            </w:rPr>
                            <w:t xml:space="preserve"> </w:t>
                          </w:r>
                          <w:r>
                            <w:rPr>
                              <w:rStyle w:val="6"/>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Style w:val="6"/>
                        <w:rFonts w:ascii="宋体" w:hAnsi="宋体"/>
                        <w:sz w:val="28"/>
                        <w:szCs w:val="28"/>
                      </w:rPr>
                    </w:pPr>
                    <w:r>
                      <w:rPr>
                        <w:rStyle w:val="6"/>
                        <w:rFonts w:hint="eastAsia" w:ascii="宋体" w:hAnsi="宋体"/>
                        <w:sz w:val="28"/>
                        <w:szCs w:val="28"/>
                      </w:rPr>
                      <w:t>—</w:t>
                    </w:r>
                    <w:r>
                      <w:rPr>
                        <w:rStyle w:val="6"/>
                        <w:rFonts w:hint="eastAsia" w:ascii="宋体" w:hAnsi="宋体"/>
                        <w:sz w:val="28"/>
                        <w:szCs w:val="28"/>
                        <w:lang w:val="en-US" w:eastAsia="zh-CN"/>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5</w:t>
                    </w:r>
                    <w:r>
                      <w:rPr>
                        <w:rStyle w:val="6"/>
                        <w:rFonts w:ascii="宋体" w:hAnsi="宋体"/>
                        <w:sz w:val="28"/>
                        <w:szCs w:val="28"/>
                      </w:rPr>
                      <w:fldChar w:fldCharType="end"/>
                    </w:r>
                    <w:r>
                      <w:rPr>
                        <w:rStyle w:val="6"/>
                        <w:rFonts w:hint="eastAsia" w:ascii="宋体" w:hAnsi="宋体"/>
                        <w:sz w:val="28"/>
                        <w:szCs w:val="28"/>
                        <w:lang w:val="en-US" w:eastAsia="zh-CN"/>
                      </w:rPr>
                      <w:t xml:space="preserve"> </w:t>
                    </w:r>
                    <w:r>
                      <w:rPr>
                        <w:rStyle w:val="6"/>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280" w:firstLineChars="100"/>
                            <w:rPr>
                              <w:rStyle w:val="6"/>
                              <w:rFonts w:ascii="宋体" w:hAnsi="宋体"/>
                              <w:sz w:val="28"/>
                            </w:rPr>
                          </w:pPr>
                          <w:r>
                            <w:rPr>
                              <w:rStyle w:val="6"/>
                              <w:rFonts w:hint="eastAsia" w:ascii="宋体" w:hAnsi="宋体"/>
                              <w:sz w:val="28"/>
                            </w:rPr>
                            <w:t>—</w:t>
                          </w:r>
                          <w:r>
                            <w:rPr>
                              <w:rStyle w:val="6"/>
                              <w:rFonts w:hint="eastAsia" w:ascii="宋体" w:hAnsi="宋体"/>
                              <w:sz w:val="28"/>
                              <w:lang w:val="en-US" w:eastAsia="zh-CN"/>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6</w:t>
                          </w:r>
                          <w:r>
                            <w:rPr>
                              <w:rStyle w:val="6"/>
                              <w:rFonts w:ascii="宋体" w:hAnsi="宋体"/>
                              <w:sz w:val="28"/>
                            </w:rPr>
                            <w:fldChar w:fldCharType="end"/>
                          </w:r>
                          <w:r>
                            <w:rPr>
                              <w:rStyle w:val="6"/>
                              <w:rFonts w:hint="eastAsia" w:ascii="宋体" w:hAnsi="宋体"/>
                              <w:sz w:val="28"/>
                              <w:lang w:val="en-US" w:eastAsia="zh-CN"/>
                            </w:rPr>
                            <w:t xml:space="preserve"> </w:t>
                          </w:r>
                          <w:r>
                            <w:rPr>
                              <w:rStyle w:val="6"/>
                              <w:rFonts w:hint="eastAsia" w:ascii="宋体" w:hAnsi="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60288;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IdcF9AAAAAF&#10;AQAADwAAAAAAAAABACAAAAAiAAAAZHJzL2Rvd25yZXYueG1sUEsBAhQAFAAAAAgAh07iQJane9Ky&#10;AQAAWQMAAA4AAAAAAAAAAQAgAAAAHwEAAGRycy9lMm9Eb2MueG1sUEsFBgAAAAAGAAYAWQEAAEMF&#10;AAAAAA==&#10;">
              <v:path/>
              <v:fill on="f" focussize="0,0"/>
              <v:stroke on="f"/>
              <v:imagedata o:title=""/>
              <o:lock v:ext="edit" aspectratio="f"/>
              <v:textbox inset="0mm,0mm,0mm,0mm" style="mso-fit-shape-to-text:t;">
                <w:txbxContent>
                  <w:p>
                    <w:pPr>
                      <w:pStyle w:val="2"/>
                      <w:ind w:firstLine="280" w:firstLineChars="100"/>
                      <w:rPr>
                        <w:rStyle w:val="6"/>
                        <w:rFonts w:ascii="宋体" w:hAnsi="宋体"/>
                        <w:sz w:val="28"/>
                      </w:rPr>
                    </w:pPr>
                    <w:r>
                      <w:rPr>
                        <w:rStyle w:val="6"/>
                        <w:rFonts w:hint="eastAsia" w:ascii="宋体" w:hAnsi="宋体"/>
                        <w:sz w:val="28"/>
                      </w:rPr>
                      <w:t>—</w:t>
                    </w:r>
                    <w:r>
                      <w:rPr>
                        <w:rStyle w:val="6"/>
                        <w:rFonts w:hint="eastAsia" w:ascii="宋体" w:hAnsi="宋体"/>
                        <w:sz w:val="28"/>
                        <w:lang w:val="en-US" w:eastAsia="zh-CN"/>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6</w:t>
                    </w:r>
                    <w:r>
                      <w:rPr>
                        <w:rStyle w:val="6"/>
                        <w:rFonts w:ascii="宋体" w:hAnsi="宋体"/>
                        <w:sz w:val="28"/>
                      </w:rPr>
                      <w:fldChar w:fldCharType="end"/>
                    </w:r>
                    <w:r>
                      <w:rPr>
                        <w:rStyle w:val="6"/>
                        <w:rFonts w:hint="eastAsia" w:ascii="宋体" w:hAnsi="宋体"/>
                        <w:sz w:val="28"/>
                        <w:lang w:val="en-US" w:eastAsia="zh-CN"/>
                      </w:rPr>
                      <w:t xml:space="preserve"> </w:t>
                    </w:r>
                    <w:r>
                      <w:rPr>
                        <w:rStyle w:val="6"/>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3FA4"/>
    <w:rsid w:val="76AE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2026-02-26T10:05:00Z</dcterms:created>
  <dc:creator>xxzx</dc:creator>
  <cp:lastModifiedBy>xxzx</cp:lastModifiedBy>
  <dcterms:modified xsi:type="dcterms:W3CDTF">2026-02-26T10:08:03Z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