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after="0" w:line="579" w:lineRule="exac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spacing w:line="579" w:lineRule="exact"/>
        <w:jc w:val="center"/>
        <w:rPr>
          <w:rFonts w:hint="eastAsia" w:ascii="方正小标宋简体" w:hAnsi="方正小标宋简体" w:eastAsia="方正小标宋简体" w:cs="方正小标宋简体"/>
          <w:sz w:val="44"/>
          <w:szCs w:val="44"/>
          <w:vertAlign w:val="baseline"/>
        </w:rPr>
      </w:pPr>
      <w:bookmarkStart w:id="0" w:name="_GoBack"/>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第二季度污染防治攻坚战统筹强化监</w:t>
      </w:r>
      <w:r>
        <w:rPr>
          <w:rFonts w:hint="eastAsia" w:ascii="方正小标宋简体" w:hAnsi="方正小标宋简体" w:eastAsia="方正小标宋简体" w:cs="方正小标宋简体"/>
          <w:sz w:val="44"/>
          <w:szCs w:val="44"/>
          <w:u w:val="none" w:color="FFFFFF"/>
          <w:shd w:val="clear" w:color="auto" w:fill="auto"/>
          <w:lang w:val="en-US" w:eastAsia="zh-CN"/>
        </w:rPr>
        <w:t>督</w:t>
      </w:r>
      <w:r>
        <w:rPr>
          <w:rFonts w:hint="eastAsia" w:ascii="方正小标宋简体" w:hAnsi="方正小标宋简体" w:eastAsia="方正小标宋简体" w:cs="方正小标宋简体"/>
          <w:sz w:val="44"/>
          <w:szCs w:val="44"/>
          <w:lang w:val="en-US" w:eastAsia="zh-CN"/>
        </w:rPr>
        <w:t>计划</w:t>
      </w:r>
      <w:bookmarkEnd w:id="0"/>
    </w:p>
    <w:tbl>
      <w:tblPr>
        <w:tblStyle w:val="7"/>
        <w:tblW w:w="14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72"/>
        <w:gridCol w:w="3203"/>
        <w:gridCol w:w="1372"/>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时间</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任务部门</w:t>
            </w:r>
          </w:p>
        </w:tc>
        <w:tc>
          <w:tcPr>
            <w:tcW w:w="32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涉及地域</w:t>
            </w:r>
          </w:p>
        </w:tc>
        <w:tc>
          <w:tcPr>
            <w:tcW w:w="77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jc w:val="center"/>
        </w:trPr>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6月18日</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至</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6月27日</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vertAlign w:val="baseline"/>
                <w:lang w:val="en-US" w:eastAsia="zh-CN"/>
              </w:rPr>
              <w:t>共10天</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大气</w:t>
            </w:r>
            <w:r>
              <w:rPr>
                <w:rFonts w:hint="eastAsia" w:ascii="仿宋_GB2312" w:hAnsi="仿宋_GB2312" w:eastAsia="仿宋_GB2312" w:cs="仿宋_GB2312"/>
                <w:sz w:val="21"/>
                <w:szCs w:val="21"/>
                <w:u w:val="none" w:color="FFFFFF"/>
                <w:shd w:val="clear" w:color="auto" w:fill="auto"/>
                <w:vertAlign w:val="baseline"/>
                <w:lang w:val="en-US" w:eastAsia="zh-CN"/>
              </w:rPr>
              <w:t>办</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水处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辐射处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环评处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执法局</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执法总队</w:t>
            </w:r>
          </w:p>
        </w:tc>
        <w:tc>
          <w:tcPr>
            <w:tcW w:w="320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color="FFFFFF"/>
                <w:shd w:val="clear" w:color="auto" w:fill="auto"/>
                <w:vertAlign w:val="baseline"/>
                <w:lang w:val="en-US" w:eastAsia="zh-CN"/>
              </w:rPr>
              <w:t>1.</w:t>
            </w:r>
            <w:r>
              <w:rPr>
                <w:rFonts w:hint="eastAsia" w:ascii="仿宋_GB2312" w:hAnsi="仿宋_GB2312" w:eastAsia="仿宋_GB2312" w:cs="仿宋_GB2312"/>
                <w:sz w:val="21"/>
                <w:szCs w:val="21"/>
                <w:vertAlign w:val="baseline"/>
                <w:lang w:val="en-US" w:eastAsia="zh-CN"/>
              </w:rPr>
              <w:t>涉水企业检查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2.</w:t>
            </w:r>
            <w:r>
              <w:rPr>
                <w:rFonts w:hint="eastAsia" w:ascii="仿宋_GB2312" w:hAnsi="仿宋_GB2312" w:eastAsia="仿宋_GB2312" w:cs="仿宋_GB2312"/>
                <w:sz w:val="21"/>
                <w:szCs w:val="21"/>
                <w:vertAlign w:val="baseline"/>
              </w:rPr>
              <w:t>环评单位规范性检查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u w:val="none" w:color="FFFFFF"/>
                <w:shd w:val="clear" w:color="auto" w:fill="auto"/>
                <w:vertAlign w:val="baseline"/>
                <w:lang w:val="en-US" w:eastAsia="zh-CN"/>
              </w:rPr>
              <w:t>3.</w:t>
            </w:r>
            <w:r>
              <w:rPr>
                <w:rFonts w:hint="eastAsia" w:ascii="仿宋_GB2312" w:hAnsi="仿宋_GB2312" w:eastAsia="仿宋_GB2312" w:cs="仿宋_GB2312"/>
                <w:sz w:val="21"/>
                <w:szCs w:val="21"/>
                <w:vertAlign w:val="baseline"/>
              </w:rPr>
              <w:t>现场检查伴生放射性固体废物环境风险隐患排查问题整改情况</w:t>
            </w:r>
            <w:r>
              <w:rPr>
                <w:rFonts w:hint="eastAsia" w:ascii="仿宋_GB2312" w:hAnsi="仿宋_GB2312" w:eastAsia="仿宋_GB2312" w:cs="仿宋_GB2312"/>
                <w:sz w:val="21"/>
                <w:szCs w:val="21"/>
                <w:vertAlign w:val="baseline"/>
                <w:lang w:eastAsia="zh-CN"/>
              </w:rPr>
              <w:t>、</w:t>
            </w:r>
            <w:r>
              <w:rPr>
                <w:rFonts w:hint="eastAsia" w:ascii="仿宋_GB2312" w:hAnsi="仿宋_GB2312" w:eastAsia="仿宋_GB2312" w:cs="仿宋_GB2312"/>
                <w:sz w:val="21"/>
                <w:szCs w:val="21"/>
                <w:vertAlign w:val="baseline"/>
                <w:lang w:val="en-US" w:eastAsia="zh-CN"/>
              </w:rPr>
              <w:t>核技术利用单位辐射安全与防护情况</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4.</w:t>
            </w:r>
            <w:r>
              <w:rPr>
                <w:rFonts w:hint="eastAsia" w:ascii="仿宋_GB2312" w:hAnsi="仿宋_GB2312" w:eastAsia="仿宋_GB2312" w:cs="仿宋_GB2312"/>
                <w:sz w:val="21"/>
                <w:szCs w:val="21"/>
                <w:vertAlign w:val="baseline"/>
              </w:rPr>
              <w:t>秦岭生态环境保护联合执法检查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5.</w:t>
            </w:r>
            <w:r>
              <w:rPr>
                <w:rFonts w:hint="eastAsia" w:ascii="仿宋_GB2312" w:hAnsi="仿宋_GB2312" w:eastAsia="仿宋_GB2312" w:cs="仿宋_GB2312"/>
                <w:sz w:val="21"/>
                <w:szCs w:val="21"/>
                <w:vertAlign w:val="baseline"/>
              </w:rPr>
              <w:t>机动车及柴油货车排放治理专项执法检查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6.</w:t>
            </w:r>
            <w:r>
              <w:rPr>
                <w:rFonts w:hint="eastAsia" w:ascii="仿宋_GB2312" w:hAnsi="仿宋_GB2312" w:eastAsia="仿宋_GB2312" w:cs="仿宋_GB2312"/>
                <w:sz w:val="21"/>
                <w:szCs w:val="21"/>
                <w:vertAlign w:val="baseline"/>
              </w:rPr>
              <w:t>生活垃圾焚烧发电企业专项执法检查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7.</w:t>
            </w:r>
            <w:r>
              <w:rPr>
                <w:rFonts w:hint="eastAsia" w:ascii="仿宋_GB2312" w:hAnsi="仿宋_GB2312" w:eastAsia="仿宋_GB2312" w:cs="仿宋_GB2312"/>
                <w:sz w:val="21"/>
                <w:szCs w:val="21"/>
                <w:vertAlign w:val="baseline"/>
              </w:rPr>
              <w:t>涉气重点污染源专项执法检查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u w:val="none" w:color="FFFFFF"/>
                <w:shd w:val="clear" w:color="auto" w:fill="auto"/>
                <w:vertAlign w:val="baseline"/>
                <w:lang w:val="en-US" w:eastAsia="zh-CN"/>
              </w:rPr>
              <w:t>8.</w:t>
            </w:r>
            <w:r>
              <w:rPr>
                <w:rFonts w:hint="eastAsia" w:ascii="仿宋_GB2312" w:hAnsi="仿宋_GB2312" w:eastAsia="仿宋_GB2312" w:cs="仿宋_GB2312"/>
                <w:sz w:val="21"/>
                <w:szCs w:val="21"/>
                <w:vertAlign w:val="baseline"/>
              </w:rPr>
              <w:t>挥发性有机物治理攻坚专项执法检查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9.</w:t>
            </w:r>
            <w:r>
              <w:rPr>
                <w:rFonts w:hint="eastAsia" w:ascii="仿宋_GB2312" w:hAnsi="仿宋_GB2312" w:eastAsia="仿宋_GB2312" w:cs="仿宋_GB2312"/>
                <w:sz w:val="21"/>
                <w:szCs w:val="21"/>
                <w:vertAlign w:val="baseline"/>
              </w:rPr>
              <w:t>噪声专项执法检查</w:t>
            </w:r>
          </w:p>
          <w:p>
            <w:pPr>
              <w:keepNext w:val="0"/>
              <w:keepLines w:val="0"/>
              <w:pageBreakBefore w:val="0"/>
              <w:widowControl w:val="0"/>
              <w:numPr>
                <w:ilvl w:val="0"/>
                <w:numId w:val="0"/>
              </w:numPr>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kern w:val="2"/>
                <w:sz w:val="21"/>
                <w:szCs w:val="21"/>
                <w:vertAlign w:val="baseline"/>
                <w:lang w:val="en-US" w:eastAsia="zh-CN" w:bidi="ar-SA"/>
              </w:rPr>
              <w:t>10.</w:t>
            </w:r>
            <w:r>
              <w:rPr>
                <w:rFonts w:hint="eastAsia" w:ascii="仿宋_GB2312" w:hAnsi="仿宋_GB2312" w:eastAsia="仿宋_GB2312" w:cs="仿宋_GB2312"/>
                <w:sz w:val="21"/>
                <w:szCs w:val="21"/>
                <w:vertAlign w:val="baseline"/>
              </w:rPr>
              <w:t>危险废物专项执法检查</w:t>
            </w:r>
          </w:p>
          <w:p>
            <w:pPr>
              <w:keepNext w:val="0"/>
              <w:keepLines w:val="0"/>
              <w:pageBreakBefore w:val="0"/>
              <w:widowControl w:val="0"/>
              <w:numPr>
                <w:ilvl w:val="0"/>
                <w:numId w:val="0"/>
              </w:numPr>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kern w:val="2"/>
                <w:sz w:val="21"/>
                <w:szCs w:val="21"/>
                <w:vertAlign w:val="baseline"/>
                <w:lang w:val="en-US" w:eastAsia="zh-CN" w:bidi="ar-SA"/>
              </w:rPr>
              <w:t>11.</w:t>
            </w:r>
            <w:r>
              <w:rPr>
                <w:rFonts w:hint="eastAsia" w:ascii="仿宋_GB2312" w:hAnsi="仿宋_GB2312" w:eastAsia="仿宋_GB2312" w:cs="仿宋_GB2312"/>
                <w:sz w:val="21"/>
                <w:szCs w:val="21"/>
                <w:vertAlign w:val="baseline"/>
              </w:rPr>
              <w:t>污染源自动监控设施专项执法检查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r>
              <w:rPr>
                <w:rFonts w:hint="eastAsia" w:ascii="仿宋_GB2312" w:hAnsi="仿宋_GB2312" w:eastAsia="仿宋_GB2312" w:cs="仿宋_GB2312"/>
                <w:color w:val="auto"/>
                <w:sz w:val="21"/>
                <w:szCs w:val="21"/>
                <w:vertAlign w:val="baseline"/>
                <w:lang w:val="en-US" w:eastAsia="zh-CN"/>
              </w:rPr>
              <w:t>2.土壤污染重点监管单位执法监管</w:t>
            </w:r>
            <w:r>
              <w:rPr>
                <w:rFonts w:hint="eastAsia" w:ascii="仿宋_GB2312" w:hAnsi="仿宋_GB2312" w:eastAsia="仿宋_GB2312" w:cs="仿宋_GB2312"/>
                <w:color w:val="auto"/>
                <w:sz w:val="21"/>
                <w:szCs w:val="21"/>
                <w:vertAlign w:val="baseline"/>
              </w:rPr>
              <w:t>问题整改情况“回头看”</w:t>
            </w:r>
          </w:p>
        </w:tc>
        <w:tc>
          <w:tcPr>
            <w:tcW w:w="1372"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各地市</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或部分地市</w:t>
            </w:r>
          </w:p>
        </w:tc>
        <w:tc>
          <w:tcPr>
            <w:tcW w:w="7754" w:type="dxa"/>
            <w:noWrap w:val="0"/>
            <w:vAlign w:val="center"/>
          </w:tcPr>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《中华人民共和国环境保护法》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《中华人民共和国大气污染防治法》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《中华人民共和国噪声污染防治法》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rPr>
              <w:t>《中华人民共和国</w:t>
            </w:r>
            <w:r>
              <w:rPr>
                <w:rFonts w:hint="eastAsia" w:ascii="仿宋_GB2312" w:hAnsi="仿宋_GB2312" w:eastAsia="仿宋_GB2312" w:cs="仿宋_GB2312"/>
                <w:sz w:val="21"/>
                <w:szCs w:val="21"/>
                <w:vertAlign w:val="baseline"/>
                <w:lang w:val="en-US" w:eastAsia="zh-CN"/>
              </w:rPr>
              <w:t>放射性污染防治</w:t>
            </w:r>
            <w:r>
              <w:rPr>
                <w:rFonts w:hint="eastAsia" w:ascii="仿宋_GB2312" w:hAnsi="仿宋_GB2312" w:eastAsia="仿宋_GB2312" w:cs="仿宋_GB2312"/>
                <w:sz w:val="21"/>
                <w:szCs w:val="21"/>
                <w:vertAlign w:val="baseline"/>
              </w:rPr>
              <w:t>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《建设项目环境影响报告书（表）编制监督管理办法》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生态环境部《关于加强环境影响报告书（表）编制质量监管工作的通知》（环办环评函〔2020〕181号）</w:t>
            </w:r>
          </w:p>
          <w:p>
            <w:pPr>
              <w:keepNext w:val="0"/>
              <w:keepLines w:val="0"/>
              <w:pageBreakBefore w:val="0"/>
              <w:widowControl w:val="0"/>
              <w:numPr>
                <w:ilvl w:val="0"/>
                <w:numId w:val="0"/>
              </w:numPr>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《陕西省饮用水水源保护条例》</w:t>
            </w:r>
          </w:p>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《陕西省新污染物治理工作方案》（陕政办函〔2022〕162号）</w:t>
            </w:r>
          </w:p>
          <w:p>
            <w:pPr>
              <w:keepNext w:val="0"/>
              <w:keepLines w:val="0"/>
              <w:pageBreakBefore w:val="0"/>
              <w:widowControl w:val="0"/>
              <w:numPr>
                <w:ilvl w:val="0"/>
                <w:numId w:val="0"/>
              </w:numPr>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《固体废物处理处置工程技术导则》及环境影响评价文件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《放射性同位素与射线装置安全和防护条例》</w:t>
            </w:r>
          </w:p>
          <w:p>
            <w:pPr>
              <w:keepNext w:val="0"/>
              <w:keepLines w:val="0"/>
              <w:pageBreakBefore w:val="0"/>
              <w:widowControl w:val="0"/>
              <w:numPr>
                <w:ilvl w:val="0"/>
                <w:numId w:val="0"/>
              </w:numPr>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《放射性同位素与射线装置安全和防护管理办法》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《伴生放射性矿开发利用企业环境辐射监测及信息公开办法》（国环规</w:t>
            </w:r>
            <w:r>
              <w:rPr>
                <w:rFonts w:hint="eastAsia" w:ascii="仿宋_GB2312" w:hAnsi="仿宋_GB2312" w:eastAsia="仿宋_GB2312" w:cs="仿宋_GB2312"/>
                <w:sz w:val="21"/>
                <w:szCs w:val="21"/>
                <w:u w:val="none" w:color="FFFFFF"/>
                <w:shd w:val="clear" w:color="auto" w:fill="auto"/>
                <w:vertAlign w:val="baseline"/>
              </w:rPr>
              <w:t>辐射</w:t>
            </w:r>
            <w:r>
              <w:rPr>
                <w:rFonts w:hint="eastAsia" w:ascii="仿宋_GB2312" w:hAnsi="仿宋_GB2312" w:eastAsia="仿宋_GB2312" w:cs="仿宋_GB2312"/>
                <w:sz w:val="21"/>
                <w:szCs w:val="21"/>
                <w:vertAlign w:val="baseline"/>
              </w:rPr>
              <w:t>〔2018〕1号）</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中省《严厉打击危险废物环境违法犯罪和污染源监测数据弄虚作假违法犯罪专项行动》</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《陕西省污染源自动监控管理办法》</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《陕西省大气污染治理专项行动方案（2023</w:t>
            </w:r>
            <w:r>
              <w:rPr>
                <w:rFonts w:hint="eastAsia" w:ascii="仿宋_GB2312" w:hAnsi="仿宋_GB2312" w:eastAsia="仿宋_GB2312" w:cs="仿宋_GB2312"/>
                <w:sz w:val="21"/>
                <w:szCs w:val="21"/>
                <w:u w:val="none" w:color="FFFFFF"/>
                <w:shd w:val="clear" w:color="auto" w:fill="auto"/>
                <w:vertAlign w:val="baseline"/>
              </w:rPr>
              <w:t>-</w:t>
            </w:r>
            <w:r>
              <w:rPr>
                <w:rFonts w:hint="eastAsia" w:ascii="仿宋_GB2312" w:hAnsi="仿宋_GB2312" w:eastAsia="仿宋_GB2312" w:cs="仿宋_GB2312"/>
                <w:sz w:val="21"/>
                <w:szCs w:val="21"/>
                <w:vertAlign w:val="baseline"/>
              </w:rPr>
              <w:t>2027年）》（陕发〔2023〕4号）</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《关于深化大气污染治理推进实现“十四五”空气质量目标的实施意见》（陕政发〔2024〕6号）</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《陕西省噪声污染防治行动计划（2023</w:t>
            </w:r>
            <w:r>
              <w:rPr>
                <w:rFonts w:hint="eastAsia" w:ascii="仿宋_GB2312" w:hAnsi="仿宋_GB2312" w:eastAsia="仿宋_GB2312" w:cs="仿宋_GB2312"/>
                <w:sz w:val="21"/>
                <w:szCs w:val="21"/>
                <w:u w:val="none" w:color="FFFFFF"/>
                <w:shd w:val="clear" w:color="auto" w:fill="auto"/>
                <w:vertAlign w:val="baseline"/>
              </w:rPr>
              <w:t>-</w:t>
            </w:r>
            <w:r>
              <w:rPr>
                <w:rFonts w:hint="eastAsia" w:ascii="仿宋_GB2312" w:hAnsi="仿宋_GB2312" w:eastAsia="仿宋_GB2312" w:cs="仿宋_GB2312"/>
                <w:sz w:val="21"/>
                <w:szCs w:val="21"/>
                <w:vertAlign w:val="baseline"/>
              </w:rPr>
              <w:t>2025年）》</w:t>
            </w:r>
          </w:p>
          <w:p>
            <w:pPr>
              <w:keepNext w:val="0"/>
              <w:keepLines w:val="0"/>
              <w:pageBreakBefore w:val="0"/>
              <w:widowControl w:val="0"/>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《秦岭生态环境保护联合执法工作实施方案》</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《关于印发〈陕西省工业园区水污染整治工作方案〉的通知》</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《关于印发〈“十四五”城市黑臭水体整治环境保护行动方案〉的通知》</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23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《国务院办公厅关于加强入河入海排污口监督管理工作的实施意见》</w:t>
            </w:r>
          </w:p>
          <w:p>
            <w:pPr>
              <w:keepNext w:val="0"/>
              <w:keepLines w:val="0"/>
              <w:pageBreakBefore w:val="0"/>
              <w:widowControl/>
              <w:kinsoku/>
              <w:wordWrap/>
              <w:overflowPunct/>
              <w:topLinePunct w:val="0"/>
              <w:autoSpaceDE/>
              <w:autoSpaceDN/>
              <w:bidi w:val="0"/>
              <w:adjustRightInd/>
              <w:snapToGrid/>
              <w:spacing w:after="0" w:line="230" w:lineRule="exact"/>
              <w:jc w:val="both"/>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《关于土壤污染重点监管单位及涉重金属企业专项督导帮扶情况的通报》（陕环执法函〔2024〕124号）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20941"/>
    <w:rsid w:val="4002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eastAsia="宋体"/>
    </w:rPr>
  </w:style>
  <w:style w:type="paragraph" w:styleId="3">
    <w:name w:val="Body Text 3"/>
    <w:basedOn w:val="1"/>
    <w:qFormat/>
    <w:uiPriority w:val="0"/>
    <w:pPr>
      <w:spacing w:after="120"/>
    </w:pPr>
    <w:rPr>
      <w:rFonts w:eastAsia="宋体"/>
      <w:sz w:val="16"/>
      <w:szCs w:val="1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2025-06-16T11:54:00Z</dcterms:created>
  <dc:creator>zhuoyue367</dc:creator>
  <cp:lastModifiedBy>zhuoyue367</cp:lastModifiedBy>
  <dcterms:modified xsi:type="dcterms:W3CDTF">2025-06-16T11:55:39Z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E49C6FB5160F4B3AAC59D40421744763</vt:lpwstr>
  </property>
</Properties>
</file>