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51" w:rsidRDefault="00DA7C51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pacing w:val="20"/>
          <w:sz w:val="46"/>
          <w:szCs w:val="44"/>
        </w:rPr>
      </w:pPr>
    </w:p>
    <w:p w:rsidR="00DA7C51" w:rsidRDefault="00DA7C51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pacing w:val="20"/>
          <w:sz w:val="46"/>
          <w:szCs w:val="44"/>
        </w:rPr>
      </w:pPr>
    </w:p>
    <w:p w:rsidR="00DA7C51" w:rsidRDefault="00DA7C51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pacing w:val="20"/>
          <w:sz w:val="46"/>
          <w:szCs w:val="44"/>
        </w:rPr>
      </w:pPr>
    </w:p>
    <w:p w:rsidR="00DA7C51" w:rsidRDefault="00DA7C51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pacing w:val="20"/>
          <w:sz w:val="46"/>
          <w:szCs w:val="44"/>
        </w:rPr>
      </w:pPr>
    </w:p>
    <w:p w:rsidR="00DA7C51" w:rsidRDefault="00DA7C51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pacing w:val="20"/>
          <w:sz w:val="46"/>
          <w:szCs w:val="44"/>
        </w:rPr>
      </w:pPr>
    </w:p>
    <w:p w:rsidR="00DA7C51" w:rsidRDefault="002C2D5C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pacing w:val="20"/>
          <w:sz w:val="46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pacing w:val="20"/>
          <w:sz w:val="46"/>
          <w:szCs w:val="44"/>
        </w:rPr>
        <w:t>2017上半年全省环境质量状况</w:t>
      </w:r>
    </w:p>
    <w:p w:rsidR="00DA7C51" w:rsidRDefault="00DA7C51">
      <w:pPr>
        <w:spacing w:line="560" w:lineRule="exact"/>
        <w:jc w:val="center"/>
        <w:rPr>
          <w:color w:val="000000"/>
          <w:sz w:val="32"/>
          <w:szCs w:val="32"/>
        </w:rPr>
      </w:pPr>
    </w:p>
    <w:p w:rsidR="00DA7C51" w:rsidRDefault="002C2D5C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pacing w:val="30"/>
          <w:sz w:val="32"/>
          <w:szCs w:val="32"/>
        </w:rPr>
        <w:t>发布单位：</w:t>
      </w:r>
      <w:r>
        <w:rPr>
          <w:rFonts w:ascii="仿宋_GB2312" w:eastAsia="仿宋_GB2312" w:hint="eastAsia"/>
          <w:color w:val="000000"/>
          <w:sz w:val="32"/>
          <w:szCs w:val="32"/>
        </w:rPr>
        <w:t>陕西省环境保护厅</w:t>
      </w: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DA7C51" w:rsidRDefault="00DA7C51">
      <w:pPr>
        <w:spacing w:line="560" w:lineRule="exact"/>
        <w:rPr>
          <w:color w:val="000000"/>
          <w:sz w:val="32"/>
          <w:szCs w:val="32"/>
        </w:rPr>
      </w:pPr>
    </w:p>
    <w:p w:rsidR="00EE6378" w:rsidRDefault="00EE6378">
      <w:pPr>
        <w:spacing w:line="560" w:lineRule="exact"/>
        <w:jc w:val="center"/>
        <w:rPr>
          <w:rFonts w:ascii="黑体" w:eastAsia="黑体" w:hAnsi="宋体" w:hint="eastAsia"/>
          <w:b/>
          <w:color w:val="000000"/>
          <w:sz w:val="32"/>
          <w:szCs w:val="32"/>
        </w:rPr>
      </w:pPr>
    </w:p>
    <w:p w:rsidR="00EE6378" w:rsidRDefault="00EE6378">
      <w:pPr>
        <w:spacing w:line="560" w:lineRule="exact"/>
        <w:jc w:val="center"/>
        <w:rPr>
          <w:rFonts w:ascii="黑体" w:eastAsia="黑体" w:hAnsi="宋体" w:hint="eastAsia"/>
          <w:b/>
          <w:color w:val="000000"/>
          <w:sz w:val="32"/>
          <w:szCs w:val="32"/>
        </w:rPr>
      </w:pPr>
    </w:p>
    <w:p w:rsidR="00DA7C51" w:rsidRDefault="002C2D5C">
      <w:pPr>
        <w:spacing w:line="560" w:lineRule="exact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陕西省人民政府新闻办公室</w:t>
      </w:r>
    </w:p>
    <w:p w:rsidR="00DA7C51" w:rsidRDefault="002C2D5C">
      <w:pPr>
        <w:spacing w:line="560" w:lineRule="exact"/>
        <w:jc w:val="center"/>
        <w:rPr>
          <w:rFonts w:ascii="黑体" w:eastAsia="黑体" w:hAnsi="宋体" w:cs="宋体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二</w:t>
      </w: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○一七年八月</w:t>
      </w:r>
      <w:r w:rsidR="003E753E">
        <w:rPr>
          <w:rFonts w:ascii="黑体" w:eastAsia="黑体" w:hAnsi="宋体" w:cs="宋体" w:hint="eastAsia"/>
          <w:b/>
          <w:color w:val="000000"/>
          <w:sz w:val="32"/>
          <w:szCs w:val="32"/>
        </w:rPr>
        <w:t>一</w:t>
      </w: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日</w:t>
      </w:r>
    </w:p>
    <w:p w:rsidR="00DA7C51" w:rsidRDefault="00DA7C51">
      <w:pPr>
        <w:spacing w:line="560" w:lineRule="exact"/>
        <w:jc w:val="center"/>
        <w:rPr>
          <w:rFonts w:ascii="黑体" w:eastAsia="黑体" w:hAnsi="宋体" w:cs="宋体"/>
          <w:b/>
          <w:color w:val="000000"/>
          <w:sz w:val="32"/>
          <w:szCs w:val="32"/>
        </w:rPr>
      </w:pPr>
    </w:p>
    <w:p w:rsidR="00DA7C51" w:rsidRDefault="002C2D5C">
      <w:pPr>
        <w:autoSpaceDN w:val="0"/>
        <w:spacing w:line="560" w:lineRule="exact"/>
        <w:rPr>
          <w:rFonts w:ascii="黑体" w:eastAsia="黑体" w:hAnsi="宋体"/>
        </w:rPr>
      </w:pPr>
      <w:r>
        <w:rPr>
          <w:rFonts w:ascii="黑体" w:eastAsia="黑体" w:hAnsi="华文仿宋" w:hint="eastAsia"/>
          <w:sz w:val="32"/>
        </w:rPr>
        <w:lastRenderedPageBreak/>
        <w:t>附件</w:t>
      </w:r>
    </w:p>
    <w:p w:rsidR="00DA7C51" w:rsidRDefault="002C2D5C">
      <w:pPr>
        <w:tabs>
          <w:tab w:val="left" w:pos="2895"/>
        </w:tabs>
        <w:autoSpaceDN w:val="0"/>
        <w:spacing w:line="560" w:lineRule="exact"/>
        <w:rPr>
          <w:rFonts w:hAnsi="宋体"/>
        </w:rPr>
      </w:pPr>
      <w:r>
        <w:rPr>
          <w:rFonts w:ascii="华文楷体" w:eastAsia="华文楷体" w:hAnsi="华文楷体"/>
          <w:b/>
          <w:sz w:val="32"/>
        </w:rPr>
        <w:t>陕西省人民政府新闻办公室新闻发布会材料</w:t>
      </w:r>
    </w:p>
    <w:p w:rsidR="00DA7C51" w:rsidRDefault="00DA7C51">
      <w:pPr>
        <w:tabs>
          <w:tab w:val="left" w:pos="2895"/>
        </w:tabs>
        <w:autoSpaceDN w:val="0"/>
        <w:spacing w:line="560" w:lineRule="exact"/>
        <w:rPr>
          <w:rFonts w:hAnsi="宋体"/>
        </w:rPr>
      </w:pPr>
    </w:p>
    <w:p w:rsidR="00DA7C51" w:rsidRDefault="002C2D5C">
      <w:pPr>
        <w:autoSpaceDN w:val="0"/>
        <w:spacing w:line="560" w:lineRule="exact"/>
        <w:jc w:val="center"/>
        <w:rPr>
          <w:rFonts w:hAnsi="宋体"/>
        </w:rPr>
      </w:pPr>
      <w:r>
        <w:rPr>
          <w:rFonts w:ascii="华文中宋" w:eastAsia="华文中宋" w:hAnsi="华文中宋"/>
          <w:b/>
          <w:sz w:val="48"/>
        </w:rPr>
        <w:t xml:space="preserve">发  布  </w:t>
      </w:r>
      <w:proofErr w:type="gramStart"/>
      <w:r>
        <w:rPr>
          <w:rFonts w:ascii="华文中宋" w:eastAsia="华文中宋" w:hAnsi="华文中宋"/>
          <w:b/>
          <w:sz w:val="48"/>
        </w:rPr>
        <w:t>辞</w:t>
      </w:r>
      <w:proofErr w:type="gramEnd"/>
    </w:p>
    <w:p w:rsidR="00DA7C51" w:rsidRDefault="002C2D5C">
      <w:pPr>
        <w:autoSpaceDN w:val="0"/>
        <w:spacing w:line="560" w:lineRule="exact"/>
        <w:jc w:val="center"/>
        <w:rPr>
          <w:rFonts w:hAnsi="宋体"/>
        </w:rPr>
      </w:pPr>
      <w:r>
        <w:rPr>
          <w:rFonts w:ascii="楷体_GB2312" w:eastAsia="楷体_GB2312" w:hAnsi="楷体_GB2312"/>
          <w:kern w:val="0"/>
          <w:sz w:val="32"/>
        </w:rPr>
        <w:t>(201</w:t>
      </w:r>
      <w:r>
        <w:rPr>
          <w:rFonts w:ascii="楷体_GB2312" w:eastAsia="楷体_GB2312" w:hAnsi="楷体_GB2312" w:hint="eastAsia"/>
          <w:kern w:val="0"/>
          <w:sz w:val="32"/>
        </w:rPr>
        <w:t>7</w:t>
      </w:r>
      <w:r>
        <w:rPr>
          <w:rFonts w:ascii="楷体_GB2312" w:eastAsia="楷体_GB2312" w:hAnsi="楷体_GB2312"/>
          <w:kern w:val="0"/>
          <w:sz w:val="32"/>
        </w:rPr>
        <w:t>年</w:t>
      </w:r>
      <w:r w:rsidR="0081251C">
        <w:rPr>
          <w:rFonts w:ascii="楷体_GB2312" w:eastAsia="楷体_GB2312" w:hAnsi="楷体_GB2312" w:hint="eastAsia"/>
          <w:kern w:val="0"/>
          <w:sz w:val="32"/>
        </w:rPr>
        <w:t>8</w:t>
      </w:r>
      <w:r>
        <w:rPr>
          <w:rFonts w:ascii="楷体_GB2312" w:eastAsia="楷体_GB2312" w:hAnsi="楷体_GB2312"/>
          <w:kern w:val="0"/>
          <w:sz w:val="32"/>
        </w:rPr>
        <w:t>月</w:t>
      </w:r>
      <w:r w:rsidR="0081251C">
        <w:rPr>
          <w:rFonts w:ascii="楷体_GB2312" w:eastAsia="楷体_GB2312" w:hAnsi="楷体_GB2312" w:hint="eastAsia"/>
          <w:kern w:val="0"/>
          <w:sz w:val="32"/>
        </w:rPr>
        <w:t>1</w:t>
      </w:r>
      <w:r>
        <w:rPr>
          <w:rFonts w:ascii="楷体_GB2312" w:eastAsia="楷体_GB2312" w:hAnsi="楷体_GB2312"/>
          <w:kern w:val="0"/>
          <w:sz w:val="32"/>
        </w:rPr>
        <w:t>日)</w:t>
      </w:r>
    </w:p>
    <w:p w:rsidR="00DA7C51" w:rsidRDefault="002C2D5C">
      <w:pPr>
        <w:autoSpaceDN w:val="0"/>
        <w:spacing w:line="560" w:lineRule="exact"/>
        <w:jc w:val="center"/>
        <w:rPr>
          <w:rFonts w:hAnsi="宋体"/>
        </w:rPr>
      </w:pPr>
      <w:r>
        <w:rPr>
          <w:rFonts w:ascii="楷体_GB2312" w:eastAsia="楷体_GB2312" w:hAnsi="楷体_GB2312"/>
          <w:sz w:val="32"/>
        </w:rPr>
        <w:t>发布人:陕西省</w:t>
      </w:r>
      <w:r w:rsidR="00B42676">
        <w:rPr>
          <w:rFonts w:ascii="楷体_GB2312" w:eastAsia="楷体_GB2312" w:hAnsi="楷体_GB2312" w:hint="eastAsia"/>
          <w:sz w:val="32"/>
        </w:rPr>
        <w:t>环境保护</w:t>
      </w:r>
      <w:proofErr w:type="gramStart"/>
      <w:r w:rsidR="00B42676">
        <w:rPr>
          <w:rFonts w:ascii="楷体_GB2312" w:eastAsia="楷体_GB2312" w:hAnsi="楷体_GB2312" w:hint="eastAsia"/>
          <w:sz w:val="32"/>
        </w:rPr>
        <w:t>厅</w:t>
      </w:r>
      <w:proofErr w:type="gramEnd"/>
      <w:r>
        <w:rPr>
          <w:rFonts w:ascii="楷体_GB2312" w:eastAsia="楷体_GB2312" w:hAnsi="楷体_GB2312"/>
          <w:sz w:val="32"/>
        </w:rPr>
        <w:t xml:space="preserve">厅长  </w:t>
      </w:r>
      <w:r>
        <w:rPr>
          <w:rFonts w:ascii="楷体_GB2312" w:eastAsia="楷体_GB2312" w:hAnsi="楷体_GB2312" w:hint="eastAsia"/>
          <w:sz w:val="32"/>
        </w:rPr>
        <w:t>王成文</w:t>
      </w:r>
    </w:p>
    <w:p w:rsidR="00DA7C51" w:rsidRDefault="00DA7C51">
      <w:pPr>
        <w:autoSpaceDN w:val="0"/>
        <w:spacing w:line="560" w:lineRule="exact"/>
        <w:rPr>
          <w:rFonts w:hAnsi="宋体"/>
        </w:rPr>
      </w:pPr>
    </w:p>
    <w:p w:rsidR="00DA7C51" w:rsidRDefault="002C2D5C">
      <w:pPr>
        <w:autoSpaceDN w:val="0"/>
        <w:spacing w:line="560" w:lineRule="exact"/>
        <w:rPr>
          <w:rFonts w:hAnsi="宋体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女士们、先生们，新闻界的朋友们：</w:t>
      </w:r>
    </w:p>
    <w:p w:rsidR="00DA7C51" w:rsidRDefault="002C2D5C">
      <w:pPr>
        <w:autoSpaceDN w:val="0"/>
        <w:spacing w:line="57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大家</w:t>
      </w:r>
      <w:r w:rsidR="00771F3D">
        <w:rPr>
          <w:rFonts w:ascii="华文仿宋" w:eastAsia="华文仿宋" w:hAnsi="华文仿宋" w:hint="eastAsia"/>
          <w:sz w:val="32"/>
          <w:szCs w:val="32"/>
        </w:rPr>
        <w:t>上午</w:t>
      </w:r>
      <w:r>
        <w:rPr>
          <w:rFonts w:ascii="华文仿宋" w:eastAsia="华文仿宋" w:hAnsi="华文仿宋"/>
          <w:sz w:val="32"/>
          <w:szCs w:val="32"/>
        </w:rPr>
        <w:t>好！今天新闻发布会的主要内容是发布201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/>
          <w:sz w:val="32"/>
          <w:szCs w:val="32"/>
        </w:rPr>
        <w:t>年上半年全省环境质量状况。</w:t>
      </w:r>
    </w:p>
    <w:p w:rsidR="00DA7C51" w:rsidRDefault="002C2D5C">
      <w:pPr>
        <w:autoSpaceDN w:val="0"/>
        <w:spacing w:line="570" w:lineRule="exact"/>
        <w:ind w:firstLineChars="200" w:firstLine="640"/>
        <w:rPr>
          <w:rFonts w:hAnsi="宋体"/>
        </w:rPr>
      </w:pPr>
      <w:r>
        <w:rPr>
          <w:rFonts w:ascii="黑体" w:eastAsia="黑体" w:hAnsi="黑体"/>
          <w:sz w:val="32"/>
        </w:rPr>
        <w:t>一、基本状况</w:t>
      </w:r>
    </w:p>
    <w:p w:rsidR="00DA7C51" w:rsidRDefault="002C2D5C">
      <w:pPr>
        <w:autoSpaceDN w:val="0"/>
        <w:spacing w:line="570" w:lineRule="exact"/>
        <w:ind w:firstLineChars="200"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2017年上半年，全省13个市（区）空气质量平均优良天数为111.5天，比例为61.6%，比上年同期增加1.7天；重度以上污染天</w:t>
      </w:r>
      <w:r>
        <w:rPr>
          <w:rFonts w:ascii="仿宋_GB2312" w:eastAsia="仿宋_GB2312" w:hAnsi="仿宋_GB2312" w:hint="eastAsia"/>
          <w:kern w:val="0"/>
          <w:sz w:val="32"/>
        </w:rPr>
        <w:t>数</w:t>
      </w:r>
      <w:r w:rsidRPr="00987AE2">
        <w:rPr>
          <w:rFonts w:ascii="仿宋_GB2312" w:eastAsia="仿宋_GB2312" w:hAnsi="仿宋_GB2312"/>
          <w:color w:val="000000" w:themeColor="text1"/>
          <w:kern w:val="0"/>
          <w:sz w:val="32"/>
        </w:rPr>
        <w:t>平均</w:t>
      </w:r>
      <w:r>
        <w:rPr>
          <w:rFonts w:ascii="仿宋_GB2312" w:eastAsia="仿宋_GB2312" w:hAnsi="仿宋_GB2312"/>
          <w:kern w:val="0"/>
          <w:sz w:val="32"/>
        </w:rPr>
        <w:t>为14.5天，比上年同期增加3.9天；PM</w:t>
      </w:r>
      <w:r>
        <w:rPr>
          <w:rFonts w:ascii="仿宋_GB2312" w:eastAsia="仿宋_GB2312" w:hAnsi="仿宋_GB2312"/>
          <w:kern w:val="0"/>
          <w:sz w:val="32"/>
          <w:vertAlign w:val="subscript"/>
        </w:rPr>
        <w:t>10</w:t>
      </w:r>
      <w:r>
        <w:rPr>
          <w:rFonts w:ascii="仿宋_GB2312" w:eastAsia="仿宋_GB2312" w:hAnsi="仿宋_GB2312"/>
          <w:kern w:val="0"/>
          <w:sz w:val="32"/>
        </w:rPr>
        <w:t>平均浓度为114微克/立方米，比上年同期下降5.0%；PM</w:t>
      </w:r>
      <w:r>
        <w:rPr>
          <w:rFonts w:ascii="仿宋_GB2312" w:eastAsia="仿宋_GB2312" w:hAnsi="仿宋_GB2312"/>
          <w:kern w:val="0"/>
          <w:sz w:val="32"/>
          <w:vertAlign w:val="subscript"/>
        </w:rPr>
        <w:t>2.5</w:t>
      </w:r>
      <w:r>
        <w:rPr>
          <w:rFonts w:ascii="仿宋_GB2312" w:eastAsia="仿宋_GB2312" w:hAnsi="仿宋_GB2312"/>
          <w:kern w:val="0"/>
          <w:sz w:val="32"/>
        </w:rPr>
        <w:t>平均浓度为64微克/立方米，比上年同期上升4.9%。全省河流中，汉江、丹江和嘉陵江水质继续保持优；渭河干流化学需氧量平均浓度</w:t>
      </w:r>
      <w:r w:rsidRPr="00987AE2">
        <w:rPr>
          <w:rFonts w:ascii="仿宋_GB2312" w:eastAsia="仿宋_GB2312" w:hAnsi="仿宋_GB2312"/>
          <w:color w:val="000000" w:themeColor="text1"/>
          <w:kern w:val="0"/>
          <w:sz w:val="32"/>
        </w:rPr>
        <w:t>同比</w:t>
      </w:r>
      <w:r>
        <w:rPr>
          <w:rFonts w:ascii="仿宋_GB2312" w:eastAsia="仿宋_GB2312" w:hAnsi="仿宋_GB2312"/>
          <w:kern w:val="0"/>
          <w:sz w:val="32"/>
        </w:rPr>
        <w:t>下降13.6%，氨氮平均浓度下降26.5%，出省潼关吊桥断面Ⅴ类水质</w:t>
      </w:r>
      <w:r>
        <w:rPr>
          <w:rFonts w:ascii="仿宋_GB2312" w:eastAsia="仿宋_GB2312" w:hAnsi="仿宋_GB2312" w:hint="eastAsia"/>
          <w:kern w:val="0"/>
          <w:sz w:val="32"/>
        </w:rPr>
        <w:t>（总磷）</w:t>
      </w:r>
      <w:r>
        <w:rPr>
          <w:rFonts w:ascii="仿宋_GB2312" w:eastAsia="仿宋_GB2312" w:hAnsi="仿宋_GB2312"/>
          <w:kern w:val="0"/>
          <w:sz w:val="32"/>
        </w:rPr>
        <w:t>；渭河支流化学需氧量平均浓度</w:t>
      </w:r>
      <w:r w:rsidRPr="00987AE2">
        <w:rPr>
          <w:rFonts w:ascii="仿宋_GB2312" w:eastAsia="仿宋_GB2312" w:hAnsi="仿宋_GB2312"/>
          <w:color w:val="000000" w:themeColor="text1"/>
          <w:kern w:val="0"/>
          <w:sz w:val="32"/>
        </w:rPr>
        <w:t>同比</w:t>
      </w:r>
      <w:r>
        <w:rPr>
          <w:rFonts w:ascii="仿宋_GB2312" w:eastAsia="仿宋_GB2312" w:hAnsi="仿宋_GB2312"/>
          <w:kern w:val="0"/>
          <w:sz w:val="32"/>
        </w:rPr>
        <w:t>下降18.2%，氨氮平均浓度微升0.2%；延河重度污染，同比水质明显变差；无定河轻度污染，同比水质无明显变化。28个城市集中式饮用水水源地水质达标率为98.37%。全省辐射环境质量状况良好，</w:t>
      </w:r>
      <w:proofErr w:type="gramStart"/>
      <w:r>
        <w:rPr>
          <w:rFonts w:ascii="仿宋_GB2312" w:eastAsia="仿宋_GB2312" w:hAnsi="仿宋_GB2312"/>
          <w:kern w:val="0"/>
          <w:sz w:val="32"/>
        </w:rPr>
        <w:t>功能区声环境质量</w:t>
      </w:r>
      <w:proofErr w:type="gramEnd"/>
      <w:r>
        <w:rPr>
          <w:rFonts w:ascii="仿宋_GB2312" w:eastAsia="仿宋_GB2312" w:hAnsi="仿宋_GB2312"/>
          <w:kern w:val="0"/>
          <w:sz w:val="32"/>
        </w:rPr>
        <w:t>保持稳定。</w:t>
      </w:r>
    </w:p>
    <w:p w:rsidR="00DA7C51" w:rsidRDefault="002C2D5C">
      <w:pPr>
        <w:autoSpaceDN w:val="0"/>
        <w:spacing w:line="570" w:lineRule="exact"/>
        <w:ind w:firstLineChars="200" w:firstLine="640"/>
        <w:rPr>
          <w:rFonts w:hAnsi="宋体"/>
        </w:rPr>
      </w:pPr>
      <w:r>
        <w:rPr>
          <w:rFonts w:ascii="黑体" w:eastAsia="黑体" w:hAnsi="黑体"/>
          <w:sz w:val="32"/>
        </w:rPr>
        <w:t>二、环境空气质量状况</w:t>
      </w:r>
    </w:p>
    <w:p w:rsidR="00DA7C51" w:rsidRDefault="002C2D5C">
      <w:pPr>
        <w:autoSpaceDN w:val="0"/>
        <w:spacing w:line="570" w:lineRule="exact"/>
        <w:ind w:firstLineChars="200"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2017年，全省各设区市、杨凌示范区、西咸新区和</w:t>
      </w:r>
      <w:proofErr w:type="gramStart"/>
      <w:r>
        <w:rPr>
          <w:rFonts w:ascii="仿宋_GB2312" w:eastAsia="仿宋_GB2312" w:hAnsi="仿宋_GB2312"/>
          <w:kern w:val="0"/>
          <w:sz w:val="32"/>
        </w:rPr>
        <w:t>韩城市</w:t>
      </w:r>
      <w:proofErr w:type="gramEnd"/>
      <w:r>
        <w:rPr>
          <w:rFonts w:ascii="仿宋_GB2312" w:eastAsia="仿宋_GB2312" w:hAnsi="仿宋_GB2312"/>
          <w:kern w:val="0"/>
          <w:sz w:val="32"/>
        </w:rPr>
        <w:t>13个市（区）均按照《环境空气质量标准》（GB3095-2012）监测和</w:t>
      </w:r>
      <w:r>
        <w:rPr>
          <w:rFonts w:ascii="仿宋_GB2312" w:eastAsia="仿宋_GB2312" w:hAnsi="仿宋_GB2312"/>
          <w:kern w:val="0"/>
          <w:sz w:val="32"/>
        </w:rPr>
        <w:lastRenderedPageBreak/>
        <w:t>评价空气质量。</w:t>
      </w:r>
    </w:p>
    <w:p w:rsidR="00DA7C51" w:rsidRDefault="002C2D5C">
      <w:pPr>
        <w:autoSpaceDN w:val="0"/>
        <w:spacing w:line="570" w:lineRule="exact"/>
        <w:ind w:firstLineChars="200" w:firstLine="643"/>
        <w:rPr>
          <w:rFonts w:hAnsi="宋体"/>
        </w:rPr>
      </w:pPr>
      <w:r>
        <w:rPr>
          <w:rFonts w:ascii="楷体_GB2312" w:eastAsia="楷体_GB2312" w:hAnsi="楷体_GB2312"/>
          <w:b/>
          <w:sz w:val="32"/>
        </w:rPr>
        <w:t>（一）环境空气质量综合指数</w:t>
      </w:r>
    </w:p>
    <w:p w:rsidR="00DA7C51" w:rsidRPr="00987AE2" w:rsidRDefault="002C2D5C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987A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上半年，按照综合指数评价，13个市（区）环境空气质量由好到差依次为：商洛、安康、榆林、汉中、铜川、延安、宝鸡、杨凌、韩城、西咸、渭南、西安、咸阳。（综合指数相同时并列）</w:t>
      </w:r>
    </w:p>
    <w:p w:rsidR="00DA7C51" w:rsidRDefault="00EE6378">
      <w:pPr>
        <w:autoSpaceDN w:val="0"/>
        <w:rPr>
          <w:rFonts w:hAnsi="宋体"/>
          <w:color w:val="000000"/>
        </w:rPr>
      </w:pPr>
      <w:r w:rsidRPr="00E636E5">
        <w:rPr>
          <w:rFonts w:ascii="仿宋_GB2312" w:eastAsia="仿宋_GB2312" w:hAnsi="仿宋"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447.75pt;height:201.75pt">
            <v:imagedata r:id="rId6" o:title=""/>
          </v:shape>
        </w:pict>
      </w:r>
    </w:p>
    <w:p w:rsidR="00DA7C51" w:rsidRDefault="002C2D5C">
      <w:pPr>
        <w:autoSpaceDN w:val="0"/>
        <w:spacing w:line="570" w:lineRule="exact"/>
        <w:ind w:firstLineChars="200" w:firstLine="643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（二）优良天数</w:t>
      </w:r>
    </w:p>
    <w:p w:rsidR="00DA7C51" w:rsidRDefault="002C2D5C">
      <w:pPr>
        <w:autoSpaceDN w:val="0"/>
        <w:spacing w:line="58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上半年，13个市（区）优良天数为71～157天，平均优良率为61.6%。</w:t>
      </w:r>
    </w:p>
    <w:p w:rsidR="00DA7C51" w:rsidRDefault="00EE6378">
      <w:pPr>
        <w:tabs>
          <w:tab w:val="left" w:pos="7560"/>
        </w:tabs>
        <w:autoSpaceDN w:val="0"/>
        <w:rPr>
          <w:rFonts w:hAnsi="宋体"/>
          <w:color w:val="000000"/>
        </w:rPr>
      </w:pPr>
      <w:r w:rsidRPr="00E636E5">
        <w:rPr>
          <w:rFonts w:hAnsi="宋体"/>
          <w:color w:val="000000"/>
        </w:rPr>
        <w:pict>
          <v:shape id="Picture 3" o:spid="_x0000_i1026" type="#_x0000_t75" style="width:448.5pt;height:214.5pt">
            <v:imagedata r:id="rId7" o:title=""/>
          </v:shape>
        </w:pict>
      </w:r>
    </w:p>
    <w:p w:rsidR="00DA7C51" w:rsidRDefault="00DA7C51">
      <w:pPr>
        <w:autoSpaceDE w:val="0"/>
        <w:autoSpaceDN w:val="0"/>
        <w:spacing w:line="320" w:lineRule="exact"/>
        <w:rPr>
          <w:rFonts w:ascii="宋体" w:hAnsi="宋体"/>
          <w:b/>
          <w:color w:val="000000"/>
          <w:sz w:val="28"/>
        </w:rPr>
      </w:pPr>
    </w:p>
    <w:p w:rsidR="008B141F" w:rsidRDefault="008B141F">
      <w:pPr>
        <w:autoSpaceDE w:val="0"/>
        <w:autoSpaceDN w:val="0"/>
        <w:spacing w:line="320" w:lineRule="exact"/>
        <w:rPr>
          <w:rFonts w:ascii="宋体" w:hAnsi="宋体"/>
          <w:b/>
          <w:color w:val="000000"/>
          <w:sz w:val="28"/>
        </w:rPr>
      </w:pPr>
    </w:p>
    <w:p w:rsidR="008B141F" w:rsidRDefault="008B141F">
      <w:pPr>
        <w:autoSpaceDE w:val="0"/>
        <w:autoSpaceDN w:val="0"/>
        <w:spacing w:line="320" w:lineRule="exact"/>
        <w:rPr>
          <w:rFonts w:ascii="宋体" w:hAnsi="宋体"/>
          <w:b/>
          <w:color w:val="000000"/>
          <w:sz w:val="28"/>
        </w:rPr>
      </w:pPr>
    </w:p>
    <w:p w:rsidR="00DA7C51" w:rsidRDefault="002C2D5C">
      <w:pPr>
        <w:autoSpaceDE w:val="0"/>
        <w:autoSpaceDN w:val="0"/>
        <w:jc w:val="center"/>
        <w:rPr>
          <w:rFonts w:hAnsi="宋体"/>
        </w:rPr>
      </w:pPr>
      <w:r>
        <w:rPr>
          <w:rFonts w:ascii="宋体" w:hAnsi="宋体"/>
          <w:b/>
          <w:sz w:val="28"/>
        </w:rPr>
        <w:lastRenderedPageBreak/>
        <w:t>2017年上半年各市（区）环境空气质量类别统计表（天）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811"/>
        <w:gridCol w:w="698"/>
        <w:gridCol w:w="680"/>
        <w:gridCol w:w="831"/>
        <w:gridCol w:w="932"/>
        <w:gridCol w:w="809"/>
        <w:gridCol w:w="925"/>
        <w:gridCol w:w="1040"/>
        <w:gridCol w:w="1321"/>
      </w:tblGrid>
      <w:tr w:rsidR="00DA7C51" w:rsidTr="00FB21A3">
        <w:trPr>
          <w:trHeight w:hRule="exact" w:val="719"/>
          <w:tblHeader/>
          <w:jc w:val="center"/>
        </w:trPr>
        <w:tc>
          <w:tcPr>
            <w:tcW w:w="736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区域</w:t>
            </w:r>
          </w:p>
        </w:tc>
        <w:tc>
          <w:tcPr>
            <w:tcW w:w="811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城市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优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良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轻度</w:t>
            </w:r>
          </w:p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污染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中度</w:t>
            </w:r>
          </w:p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污染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重度</w:t>
            </w:r>
          </w:p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污染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严重</w:t>
            </w:r>
          </w:p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污染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优良天</w:t>
            </w:r>
          </w:p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合计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优良天数</w:t>
            </w:r>
          </w:p>
          <w:p w:rsidR="00DA7C51" w:rsidRDefault="002C2D5C">
            <w:pPr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比例（</w:t>
            </w:r>
            <w:r>
              <w:rPr>
                <w:rFonts w:eastAsia="仿宋_GB2312"/>
                <w:b/>
                <w:sz w:val="24"/>
              </w:rPr>
              <w:t>%</w:t>
            </w:r>
            <w:r>
              <w:rPr>
                <w:rFonts w:eastAsia="仿宋_GB2312"/>
                <w:b/>
                <w:sz w:val="24"/>
              </w:rPr>
              <w:t>）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 w:val="restart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关中</w:t>
            </w: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83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45.9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宝鸡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106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113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62.4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咸阳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39.2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铜川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98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104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57.5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74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40.9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杨凌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105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113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62.4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西咸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82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45.3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韩城</w:t>
            </w:r>
            <w:r>
              <w:rPr>
                <w:rFonts w:eastAsia="仿宋_GB2312"/>
                <w:kern w:val="0"/>
                <w:sz w:val="24"/>
              </w:rPr>
              <w:t>*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85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47.0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 w:val="restart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陕北</w:t>
            </w: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延安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140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146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80.7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124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136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75.1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 w:val="restart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陕南</w:t>
            </w: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汉中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118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130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71.8</w:t>
            </w:r>
          </w:p>
        </w:tc>
      </w:tr>
      <w:tr w:rsidR="00DA7C51" w:rsidTr="00FB21A3">
        <w:trPr>
          <w:trHeight w:hRule="exact" w:val="288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安康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133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157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86.7</w:t>
            </w:r>
          </w:p>
        </w:tc>
      </w:tr>
      <w:tr w:rsidR="00DA7C51" w:rsidTr="00FB21A3">
        <w:trPr>
          <w:trHeight w:hRule="exact" w:val="315"/>
          <w:jc w:val="center"/>
        </w:trPr>
        <w:tc>
          <w:tcPr>
            <w:tcW w:w="736" w:type="dxa"/>
            <w:vMerge/>
            <w:vAlign w:val="center"/>
          </w:tcPr>
          <w:p w:rsidR="00DA7C51" w:rsidRDefault="00DA7C51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DA7C51" w:rsidRDefault="002C2D5C">
            <w:pPr>
              <w:widowControl/>
              <w:snapToGri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商洛</w:t>
            </w:r>
          </w:p>
        </w:tc>
        <w:tc>
          <w:tcPr>
            <w:tcW w:w="698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68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130</w:t>
            </w:r>
          </w:p>
        </w:tc>
        <w:tc>
          <w:tcPr>
            <w:tcW w:w="83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932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156</w:t>
            </w:r>
          </w:p>
        </w:tc>
        <w:tc>
          <w:tcPr>
            <w:tcW w:w="1321" w:type="dxa"/>
            <w:vAlign w:val="center"/>
          </w:tcPr>
          <w:p w:rsidR="00DA7C51" w:rsidRDefault="002C2D5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86.2</w:t>
            </w:r>
          </w:p>
        </w:tc>
      </w:tr>
    </w:tbl>
    <w:p w:rsidR="00DA7C51" w:rsidRDefault="002C2D5C">
      <w:pPr>
        <w:widowControl/>
        <w:autoSpaceDN w:val="0"/>
        <w:snapToGrid w:val="0"/>
        <w:spacing w:line="340" w:lineRule="exact"/>
        <w:ind w:firstLine="420"/>
        <w:rPr>
          <w:rFonts w:hAnsi="宋体"/>
        </w:rPr>
      </w:pPr>
      <w:r>
        <w:rPr>
          <w:rFonts w:ascii="仿宋_GB2312" w:eastAsia="仿宋_GB2312" w:hAnsi="仿宋_GB2312"/>
          <w:kern w:val="0"/>
        </w:rPr>
        <w:t>*韩城2017年上半年有7天数据有效性不足造成的污染天气未计入污染等级统计。</w:t>
      </w:r>
    </w:p>
    <w:p w:rsidR="00DA7C51" w:rsidRDefault="002C2D5C" w:rsidP="00FB21A3">
      <w:pPr>
        <w:autoSpaceDN w:val="0"/>
        <w:spacing w:line="540" w:lineRule="exact"/>
        <w:ind w:firstLineChars="200" w:firstLine="643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（三）主要污染物项目浓度</w:t>
      </w:r>
    </w:p>
    <w:p w:rsidR="00DA7C51" w:rsidRDefault="002C2D5C" w:rsidP="00FB21A3">
      <w:pPr>
        <w:autoSpaceDN w:val="0"/>
        <w:spacing w:line="54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仿宋_GB2312" w:hint="eastAsia"/>
          <w:sz w:val="32"/>
        </w:rPr>
        <w:t>上半年，各市（区）可吸入颗粒物（PM</w:t>
      </w:r>
      <w:r>
        <w:rPr>
          <w:rFonts w:ascii="仿宋_GB2312" w:eastAsia="仿宋_GB2312" w:hAnsi="仿宋_GB2312" w:hint="eastAsia"/>
          <w:sz w:val="32"/>
          <w:vertAlign w:val="subscript"/>
        </w:rPr>
        <w:t>10</w:t>
      </w:r>
      <w:r>
        <w:rPr>
          <w:rFonts w:ascii="仿宋_GB2312" w:eastAsia="仿宋_GB2312" w:hAnsi="仿宋_GB2312" w:hint="eastAsia"/>
          <w:sz w:val="32"/>
        </w:rPr>
        <w:t>）浓度范围为67～152微克/立方米，平均为114微克/立方米；细颗粒物（PM</w:t>
      </w:r>
      <w:r>
        <w:rPr>
          <w:rFonts w:ascii="仿宋_GB2312" w:eastAsia="仿宋_GB2312" w:hAnsi="仿宋_GB2312" w:hint="eastAsia"/>
          <w:sz w:val="32"/>
          <w:vertAlign w:val="subscript"/>
        </w:rPr>
        <w:t>2.5</w:t>
      </w:r>
      <w:r>
        <w:rPr>
          <w:rFonts w:ascii="仿宋_GB2312" w:eastAsia="仿宋_GB2312" w:hAnsi="仿宋_GB2312" w:hint="eastAsia"/>
          <w:sz w:val="32"/>
        </w:rPr>
        <w:t>）浓度范围为37～93微克/立方米，平均为64微克/立方米；二氧化硫（SO</w:t>
      </w:r>
      <w:r>
        <w:rPr>
          <w:rFonts w:ascii="仿宋_GB2312" w:eastAsia="仿宋_GB2312" w:hAnsi="仿宋_GB2312" w:hint="eastAsia"/>
          <w:sz w:val="32"/>
          <w:vertAlign w:val="subscript"/>
        </w:rPr>
        <w:t>2</w:t>
      </w:r>
      <w:r>
        <w:rPr>
          <w:rFonts w:ascii="仿宋_GB2312" w:eastAsia="仿宋_GB2312" w:hAnsi="仿宋_GB2312" w:hint="eastAsia"/>
          <w:sz w:val="32"/>
        </w:rPr>
        <w:t>）浓度范围为14～44微克/立方米，平均为22微克/立方米；二氧化氮（NO</w:t>
      </w:r>
      <w:r>
        <w:rPr>
          <w:rFonts w:ascii="仿宋_GB2312" w:eastAsia="仿宋_GB2312" w:hAnsi="仿宋_GB2312" w:hint="eastAsia"/>
          <w:sz w:val="32"/>
          <w:vertAlign w:val="subscript"/>
        </w:rPr>
        <w:t>2</w:t>
      </w:r>
      <w:r>
        <w:rPr>
          <w:rFonts w:ascii="仿宋_GB2312" w:eastAsia="仿宋_GB2312" w:hAnsi="仿宋_GB2312" w:hint="eastAsia"/>
          <w:sz w:val="32"/>
        </w:rPr>
        <w:t>）浓度范围为22～62微克/立方米，平均为43微克/立方米；一氧化碳（CO）24小时平均第95</w:t>
      </w:r>
      <w:proofErr w:type="gramStart"/>
      <w:r>
        <w:rPr>
          <w:rFonts w:ascii="仿宋_GB2312" w:eastAsia="仿宋_GB2312" w:hAnsi="仿宋_GB2312" w:hint="eastAsia"/>
          <w:sz w:val="32"/>
        </w:rPr>
        <w:t>百</w:t>
      </w:r>
      <w:proofErr w:type="gramEnd"/>
      <w:r>
        <w:rPr>
          <w:rFonts w:ascii="仿宋_GB2312" w:eastAsia="仿宋_GB2312" w:hAnsi="仿宋_GB2312" w:hint="eastAsia"/>
          <w:sz w:val="32"/>
        </w:rPr>
        <w:t>分位数范围为1.4～3.2毫克/立方米，平均为2.5毫克/立方米；臭氧（O</w:t>
      </w:r>
      <w:r>
        <w:rPr>
          <w:rFonts w:ascii="仿宋_GB2312" w:eastAsia="仿宋_GB2312" w:hAnsi="仿宋_GB2312" w:hint="eastAsia"/>
          <w:sz w:val="32"/>
          <w:vertAlign w:val="subscript"/>
        </w:rPr>
        <w:t>3</w:t>
      </w:r>
      <w:r>
        <w:rPr>
          <w:rFonts w:ascii="仿宋_GB2312" w:eastAsia="仿宋_GB2312" w:hAnsi="仿宋_GB2312" w:hint="eastAsia"/>
          <w:sz w:val="32"/>
        </w:rPr>
        <w:t>）日最大8小时滑动平均值的第90</w:t>
      </w:r>
      <w:proofErr w:type="gramStart"/>
      <w:r>
        <w:rPr>
          <w:rFonts w:ascii="仿宋_GB2312" w:eastAsia="仿宋_GB2312" w:hAnsi="仿宋_GB2312" w:hint="eastAsia"/>
          <w:sz w:val="32"/>
        </w:rPr>
        <w:t>百</w:t>
      </w:r>
      <w:proofErr w:type="gramEnd"/>
      <w:r>
        <w:rPr>
          <w:rFonts w:ascii="仿宋_GB2312" w:eastAsia="仿宋_GB2312" w:hAnsi="仿宋_GB2312" w:hint="eastAsia"/>
          <w:sz w:val="32"/>
        </w:rPr>
        <w:t>分位数范围为139～185微克/立方米，平均为164微克/立方米。</w:t>
      </w:r>
    </w:p>
    <w:p w:rsidR="00DA7C51" w:rsidRDefault="002C2D5C">
      <w:pPr>
        <w:autoSpaceDE w:val="0"/>
        <w:autoSpaceDN w:val="0"/>
        <w:jc w:val="center"/>
        <w:rPr>
          <w:rFonts w:hAnsi="宋体"/>
        </w:rPr>
      </w:pPr>
      <w:r>
        <w:rPr>
          <w:rFonts w:ascii="宋体" w:hAnsi="宋体"/>
          <w:b/>
          <w:sz w:val="28"/>
        </w:rPr>
        <w:t>2017年上半年各市（区）环境空气质量主要污染物项目浓度表</w:t>
      </w:r>
    </w:p>
    <w:tbl>
      <w:tblPr>
        <w:tblW w:w="8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751"/>
        <w:gridCol w:w="1804"/>
        <w:gridCol w:w="1352"/>
        <w:gridCol w:w="1300"/>
        <w:gridCol w:w="1366"/>
        <w:gridCol w:w="1366"/>
        <w:gridCol w:w="912"/>
      </w:tblGrid>
      <w:tr w:rsidR="00DA7C51" w:rsidTr="00E353F2">
        <w:trPr>
          <w:trHeight w:val="20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城市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可吸入颗粒物（</w:t>
            </w:r>
            <w:r>
              <w:rPr>
                <w:rFonts w:hAnsi="宋体"/>
                <w:b/>
                <w:sz w:val="24"/>
              </w:rPr>
              <w:t>PM</w:t>
            </w:r>
            <w:r>
              <w:rPr>
                <w:rFonts w:hAnsi="宋体"/>
                <w:b/>
                <w:sz w:val="24"/>
                <w:vertAlign w:val="subscript"/>
              </w:rPr>
              <w:t>10</w:t>
            </w:r>
            <w:r>
              <w:rPr>
                <w:rFonts w:ascii="仿宋_GB2312" w:eastAsia="仿宋_GB2312" w:hAnsi="仿宋_GB2312"/>
                <w:b/>
                <w:sz w:val="24"/>
              </w:rPr>
              <w:t>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细颗粒物（</w:t>
            </w:r>
            <w:r>
              <w:rPr>
                <w:rFonts w:hAnsi="宋体"/>
                <w:b/>
                <w:sz w:val="24"/>
              </w:rPr>
              <w:t>PM</w:t>
            </w:r>
            <w:r>
              <w:rPr>
                <w:rFonts w:hAnsi="宋体"/>
                <w:b/>
                <w:sz w:val="24"/>
                <w:vertAlign w:val="subscript"/>
              </w:rPr>
              <w:t>2.5</w:t>
            </w:r>
            <w:r>
              <w:rPr>
                <w:rFonts w:ascii="仿宋_GB2312" w:eastAsia="仿宋_GB2312" w:hAnsi="仿宋_GB2312"/>
                <w:b/>
                <w:sz w:val="24"/>
              </w:rPr>
              <w:t>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二氧化硫（</w:t>
            </w:r>
            <w:r>
              <w:rPr>
                <w:rFonts w:hAnsi="宋体"/>
                <w:b/>
                <w:sz w:val="24"/>
              </w:rPr>
              <w:t>SO</w:t>
            </w:r>
            <w:r>
              <w:rPr>
                <w:rFonts w:hAnsi="宋体"/>
                <w:b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_GB2312"/>
                <w:b/>
                <w:sz w:val="24"/>
              </w:rPr>
              <w:t>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二氧化氮（</w:t>
            </w:r>
            <w:r>
              <w:rPr>
                <w:rFonts w:hAnsi="宋体"/>
                <w:b/>
                <w:sz w:val="24"/>
              </w:rPr>
              <w:t>NO</w:t>
            </w:r>
            <w:r>
              <w:rPr>
                <w:rFonts w:hAnsi="宋体"/>
                <w:b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_GB2312"/>
                <w:b/>
                <w:sz w:val="24"/>
              </w:rPr>
              <w:t>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一氧化碳（</w:t>
            </w:r>
            <w:r>
              <w:rPr>
                <w:rFonts w:hAnsi="宋体"/>
                <w:b/>
                <w:sz w:val="24"/>
              </w:rPr>
              <w:t>CO</w:t>
            </w:r>
            <w:r>
              <w:rPr>
                <w:rFonts w:ascii="仿宋_GB2312" w:eastAsia="仿宋_GB2312" w:hAnsi="仿宋_GB2312"/>
                <w:b/>
                <w:sz w:val="24"/>
              </w:rPr>
              <w:t>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臭氧</w:t>
            </w:r>
          </w:p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b/>
                <w:sz w:val="24"/>
              </w:rPr>
              <w:t>（</w:t>
            </w:r>
            <w:r>
              <w:rPr>
                <w:rFonts w:hAnsi="宋体"/>
                <w:b/>
                <w:sz w:val="24"/>
              </w:rPr>
              <w:t>O</w:t>
            </w:r>
            <w:r>
              <w:rPr>
                <w:rFonts w:hAnsi="宋体"/>
                <w:b/>
                <w:sz w:val="24"/>
                <w:vertAlign w:val="subscript"/>
              </w:rPr>
              <w:t>3</w:t>
            </w:r>
            <w:r>
              <w:rPr>
                <w:rFonts w:ascii="仿宋_GB2312" w:eastAsia="仿宋_GB2312" w:hAnsi="仿宋_GB2312"/>
                <w:b/>
                <w:sz w:val="24"/>
              </w:rPr>
              <w:t>）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西安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147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176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宝鸡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153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咸阳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180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铜川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172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渭南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81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183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杨凌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158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lastRenderedPageBreak/>
              <w:t>西咸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173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韩城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79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185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延安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95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149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榆林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86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171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汉中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96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149</w:t>
            </w:r>
          </w:p>
        </w:tc>
      </w:tr>
      <w:tr w:rsidR="00DA7C51" w:rsidTr="00E353F2">
        <w:trPr>
          <w:trHeight w:val="251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安康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142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商洛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139</w:t>
            </w:r>
          </w:p>
        </w:tc>
      </w:tr>
      <w:tr w:rsidR="00DA7C51" w:rsidTr="00E353F2">
        <w:trPr>
          <w:trHeight w:val="24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平均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164</w:t>
            </w:r>
          </w:p>
        </w:tc>
      </w:tr>
      <w:tr w:rsidR="00DA7C51" w:rsidTr="00E353F2">
        <w:trPr>
          <w:trHeight w:val="4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二级标准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70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8B141F">
            <w:pPr>
              <w:autoSpaceDN w:val="0"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160</w:t>
            </w:r>
          </w:p>
        </w:tc>
      </w:tr>
    </w:tbl>
    <w:p w:rsidR="00DA7C51" w:rsidRDefault="002C2D5C">
      <w:pPr>
        <w:autoSpaceDN w:val="0"/>
        <w:spacing w:line="320" w:lineRule="exact"/>
        <w:rPr>
          <w:rFonts w:hAnsi="宋体"/>
        </w:rPr>
      </w:pPr>
      <w:r>
        <w:rPr>
          <w:rFonts w:ascii="仿宋_GB2312" w:eastAsia="仿宋_GB2312" w:hAnsi="仿宋_GB2312"/>
        </w:rPr>
        <w:t>注：CO为24小时平均第95</w:t>
      </w:r>
      <w:proofErr w:type="gramStart"/>
      <w:r>
        <w:rPr>
          <w:rFonts w:ascii="仿宋_GB2312" w:eastAsia="仿宋_GB2312" w:hAnsi="仿宋_GB2312"/>
        </w:rPr>
        <w:t>百</w:t>
      </w:r>
      <w:proofErr w:type="gramEnd"/>
      <w:r>
        <w:rPr>
          <w:rFonts w:ascii="仿宋_GB2312" w:eastAsia="仿宋_GB2312" w:hAnsi="仿宋_GB2312"/>
        </w:rPr>
        <w:t>分位数，单位为</w:t>
      </w:r>
      <w:proofErr w:type="gramStart"/>
      <w:r>
        <w:rPr>
          <w:rFonts w:ascii="仿宋_GB2312" w:eastAsia="仿宋_GB2312" w:hAnsi="仿宋_GB2312"/>
        </w:rPr>
        <w:t>毫克/</w:t>
      </w:r>
      <w:proofErr w:type="gramEnd"/>
      <w:r>
        <w:rPr>
          <w:rFonts w:ascii="仿宋_GB2312" w:eastAsia="仿宋_GB2312" w:hAnsi="仿宋_GB2312"/>
        </w:rPr>
        <w:t>立方米；其他五项指标单位为微克/立方米，O</w:t>
      </w:r>
      <w:r>
        <w:rPr>
          <w:rFonts w:ascii="仿宋_GB2312" w:eastAsia="仿宋_GB2312" w:hAnsi="仿宋_GB2312"/>
          <w:vertAlign w:val="subscript"/>
        </w:rPr>
        <w:t>3</w:t>
      </w:r>
      <w:r>
        <w:rPr>
          <w:rFonts w:ascii="仿宋_GB2312" w:eastAsia="仿宋_GB2312" w:hAnsi="仿宋_GB2312"/>
        </w:rPr>
        <w:t>为日最大8小时滑动平均值的第90</w:t>
      </w:r>
      <w:proofErr w:type="gramStart"/>
      <w:r>
        <w:rPr>
          <w:rFonts w:ascii="仿宋_GB2312" w:eastAsia="仿宋_GB2312" w:hAnsi="仿宋_GB2312"/>
        </w:rPr>
        <w:t>百</w:t>
      </w:r>
      <w:proofErr w:type="gramEnd"/>
      <w:r>
        <w:rPr>
          <w:rFonts w:ascii="仿宋_GB2312" w:eastAsia="仿宋_GB2312" w:hAnsi="仿宋_GB2312"/>
        </w:rPr>
        <w:t>分位数。</w:t>
      </w:r>
    </w:p>
    <w:p w:rsidR="00DA7C51" w:rsidRDefault="002C2D5C" w:rsidP="00E353F2">
      <w:pPr>
        <w:autoSpaceDN w:val="0"/>
        <w:spacing w:line="540" w:lineRule="exact"/>
        <w:ind w:firstLineChars="200" w:firstLine="643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（四）同比变化</w:t>
      </w:r>
    </w:p>
    <w:p w:rsidR="00DA7C51" w:rsidRDefault="002C2D5C" w:rsidP="00E353F2">
      <w:pPr>
        <w:autoSpaceDN w:val="0"/>
        <w:spacing w:line="540" w:lineRule="exact"/>
        <w:ind w:firstLine="627"/>
        <w:jc w:val="left"/>
        <w:rPr>
          <w:rFonts w:hAnsi="宋体"/>
        </w:rPr>
      </w:pPr>
      <w:r>
        <w:rPr>
          <w:rFonts w:ascii="仿宋_GB2312" w:eastAsia="仿宋_GB2312" w:hAnsi="仿宋_GB2312"/>
          <w:b/>
          <w:spacing w:val="-4"/>
          <w:sz w:val="32"/>
        </w:rPr>
        <w:t>1.优良天数和重度以上污染天数</w:t>
      </w:r>
    </w:p>
    <w:p w:rsidR="00DA7C51" w:rsidRDefault="002C2D5C" w:rsidP="00E353F2">
      <w:pPr>
        <w:autoSpaceDE w:val="0"/>
        <w:autoSpaceDN w:val="0"/>
        <w:spacing w:line="54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铜川、杨凌、西咸、延安、汉中、安康、商洛优良天数同比有所增加。</w:t>
      </w:r>
    </w:p>
    <w:p w:rsidR="00DA7C51" w:rsidRDefault="002C2D5C" w:rsidP="00E353F2">
      <w:pPr>
        <w:autoSpaceDE w:val="0"/>
        <w:autoSpaceDN w:val="0"/>
        <w:spacing w:line="54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延安、汉中、安康重度以上污染天数同比有所减少。</w:t>
      </w:r>
    </w:p>
    <w:p w:rsidR="00DA7C51" w:rsidRDefault="002C2D5C">
      <w:pPr>
        <w:tabs>
          <w:tab w:val="left" w:pos="6660"/>
        </w:tabs>
        <w:autoSpaceDN w:val="0"/>
        <w:spacing w:line="500" w:lineRule="exact"/>
        <w:ind w:firstLine="562"/>
        <w:jc w:val="center"/>
        <w:rPr>
          <w:rFonts w:hAnsi="宋体"/>
        </w:rPr>
      </w:pPr>
      <w:r>
        <w:rPr>
          <w:rFonts w:ascii="宋体" w:hAnsi="宋体"/>
          <w:b/>
          <w:sz w:val="28"/>
        </w:rPr>
        <w:t>2017年上半年各市（区）优良天数同期对比（天）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291"/>
        <w:gridCol w:w="1314"/>
        <w:gridCol w:w="1460"/>
        <w:gridCol w:w="1330"/>
        <w:gridCol w:w="1250"/>
        <w:gridCol w:w="1526"/>
      </w:tblGrid>
      <w:tr w:rsidR="00DA7C51" w:rsidTr="00E353F2">
        <w:trPr>
          <w:trHeight w:val="140"/>
          <w:jc w:val="center"/>
        </w:trPr>
        <w:tc>
          <w:tcPr>
            <w:tcW w:w="957" w:type="dxa"/>
            <w:vMerge w:val="restart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城市</w:t>
            </w:r>
          </w:p>
        </w:tc>
        <w:tc>
          <w:tcPr>
            <w:tcW w:w="4064" w:type="dxa"/>
            <w:gridSpan w:val="3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优良天数</w:t>
            </w:r>
          </w:p>
        </w:tc>
        <w:tc>
          <w:tcPr>
            <w:tcW w:w="4106" w:type="dxa"/>
            <w:gridSpan w:val="3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重度以上污染天数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Merge/>
            <w:vAlign w:val="center"/>
          </w:tcPr>
          <w:p w:rsidR="00DA7C51" w:rsidRDefault="00DA7C51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2016</w:t>
            </w:r>
            <w:r>
              <w:rPr>
                <w:rFonts w:eastAsia="仿宋_GB2312"/>
                <w:b/>
                <w:sz w:val="24"/>
              </w:rPr>
              <w:t>年</w:t>
            </w:r>
          </w:p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上半年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</w:t>
            </w:r>
            <w:r>
              <w:rPr>
                <w:rFonts w:eastAsia="仿宋_GB2312"/>
                <w:b/>
                <w:sz w:val="24"/>
              </w:rPr>
              <w:t>年</w:t>
            </w:r>
          </w:p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上半年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同比增减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2016</w:t>
            </w:r>
            <w:r>
              <w:rPr>
                <w:rFonts w:eastAsia="仿宋_GB2312"/>
                <w:b/>
                <w:sz w:val="24"/>
              </w:rPr>
              <w:t>年</w:t>
            </w:r>
          </w:p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上半年</w:t>
            </w:r>
          </w:p>
        </w:tc>
        <w:tc>
          <w:tcPr>
            <w:tcW w:w="1250" w:type="dxa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</w:t>
            </w:r>
            <w:r>
              <w:rPr>
                <w:rFonts w:eastAsia="仿宋_GB2312"/>
                <w:b/>
                <w:sz w:val="24"/>
              </w:rPr>
              <w:t>年</w:t>
            </w:r>
          </w:p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上半年</w:t>
            </w:r>
          </w:p>
        </w:tc>
        <w:tc>
          <w:tcPr>
            <w:tcW w:w="1526" w:type="dxa"/>
            <w:vAlign w:val="center"/>
          </w:tcPr>
          <w:p w:rsidR="00DA7C51" w:rsidRDefault="002C2D5C" w:rsidP="005C5CF7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同比增减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92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83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-9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宝鸡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114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113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-1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咸阳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-9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铜川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98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104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91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74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-17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杨凌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108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113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西咸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82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韩城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89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85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-4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延安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133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146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-1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榆林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142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136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-6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汉中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129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130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-4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安康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136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157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-1</w:t>
            </w:r>
          </w:p>
        </w:tc>
      </w:tr>
      <w:tr w:rsidR="00DA7C51" w:rsidTr="00E353F2">
        <w:trPr>
          <w:trHeight w:val="140"/>
          <w:jc w:val="center"/>
        </w:trPr>
        <w:tc>
          <w:tcPr>
            <w:tcW w:w="957" w:type="dxa"/>
            <w:vAlign w:val="center"/>
          </w:tcPr>
          <w:p w:rsidR="00DA7C51" w:rsidRDefault="002C2D5C" w:rsidP="005C5CF7"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商洛</w:t>
            </w:r>
          </w:p>
        </w:tc>
        <w:tc>
          <w:tcPr>
            <w:tcW w:w="1291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146</w:t>
            </w:r>
          </w:p>
        </w:tc>
        <w:tc>
          <w:tcPr>
            <w:tcW w:w="1314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156</w:t>
            </w:r>
          </w:p>
        </w:tc>
        <w:tc>
          <w:tcPr>
            <w:tcW w:w="146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330" w:type="dxa"/>
            <w:vAlign w:val="center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50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26" w:type="dxa"/>
            <w:vAlign w:val="bottom"/>
          </w:tcPr>
          <w:p w:rsidR="00DA7C51" w:rsidRDefault="002C2D5C" w:rsidP="005C5C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</w:tbl>
    <w:p w:rsidR="00DA7C51" w:rsidRDefault="002C2D5C">
      <w:pPr>
        <w:autoSpaceDN w:val="0"/>
        <w:spacing w:line="660" w:lineRule="exact"/>
        <w:ind w:firstLine="640"/>
        <w:jc w:val="left"/>
        <w:rPr>
          <w:rFonts w:hAnsi="宋体"/>
        </w:rPr>
      </w:pPr>
      <w:r>
        <w:rPr>
          <w:rFonts w:ascii="仿宋_GB2312" w:eastAsia="仿宋_GB2312" w:hAnsi="仿宋_GB2312"/>
          <w:b/>
          <w:sz w:val="32"/>
        </w:rPr>
        <w:t>2.主要指标浓度变化</w:t>
      </w:r>
    </w:p>
    <w:p w:rsidR="00DA7C51" w:rsidRDefault="002C2D5C" w:rsidP="007E7F11">
      <w:pPr>
        <w:autoSpaceDN w:val="0"/>
        <w:spacing w:line="660" w:lineRule="exact"/>
        <w:ind w:firstLine="641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b/>
          <w:spacing w:val="-4"/>
          <w:sz w:val="32"/>
        </w:rPr>
        <w:t>①可吸入颗粒物（PM</w:t>
      </w:r>
      <w:r>
        <w:rPr>
          <w:rFonts w:ascii="仿宋_GB2312" w:eastAsia="仿宋_GB2312" w:hAnsi="仿宋_GB2312"/>
          <w:b/>
          <w:spacing w:val="-4"/>
          <w:sz w:val="32"/>
          <w:vertAlign w:val="subscript"/>
        </w:rPr>
        <w:t>10</w:t>
      </w:r>
      <w:r>
        <w:rPr>
          <w:rFonts w:ascii="仿宋_GB2312" w:eastAsia="仿宋_GB2312" w:hAnsi="仿宋_GB2312"/>
          <w:b/>
          <w:spacing w:val="-4"/>
          <w:sz w:val="32"/>
        </w:rPr>
        <w:t>）：</w:t>
      </w:r>
      <w:r>
        <w:rPr>
          <w:rFonts w:ascii="仿宋_GB2312" w:eastAsia="仿宋_GB2312" w:hAnsi="仿宋_GB2312"/>
          <w:sz w:val="32"/>
        </w:rPr>
        <w:t>宝鸡、咸阳、铜川、西咸、韩城、延安、榆林、安康、商洛同比下降，其他市（区）同比上升。</w:t>
      </w:r>
    </w:p>
    <w:p w:rsidR="005C5CF7" w:rsidRPr="007E7F11" w:rsidRDefault="005C5CF7" w:rsidP="007E7F11">
      <w:pPr>
        <w:autoSpaceDN w:val="0"/>
        <w:spacing w:line="660" w:lineRule="exact"/>
        <w:ind w:firstLine="641"/>
        <w:jc w:val="left"/>
        <w:rPr>
          <w:rFonts w:ascii="仿宋_GB2312" w:eastAsia="仿宋_GB2312" w:hAnsi="仿宋_GB2312"/>
          <w:sz w:val="32"/>
        </w:rPr>
      </w:pPr>
    </w:p>
    <w:p w:rsidR="00DA7C51" w:rsidRDefault="002C2D5C">
      <w:pPr>
        <w:tabs>
          <w:tab w:val="left" w:pos="6660"/>
        </w:tabs>
        <w:autoSpaceDN w:val="0"/>
        <w:spacing w:line="500" w:lineRule="exact"/>
        <w:jc w:val="center"/>
        <w:rPr>
          <w:rFonts w:hAnsi="宋体"/>
        </w:rPr>
      </w:pPr>
      <w:r>
        <w:rPr>
          <w:rFonts w:ascii="宋体" w:hAnsi="宋体"/>
          <w:b/>
          <w:sz w:val="28"/>
        </w:rPr>
        <w:lastRenderedPageBreak/>
        <w:t>2017年上半年各市（区）可吸入颗粒物（PM</w:t>
      </w:r>
      <w:r>
        <w:rPr>
          <w:rFonts w:ascii="宋体" w:hAnsi="宋体"/>
          <w:b/>
          <w:sz w:val="28"/>
          <w:vertAlign w:val="subscript"/>
        </w:rPr>
        <w:t>10</w:t>
      </w:r>
      <w:r>
        <w:rPr>
          <w:rFonts w:ascii="宋体" w:hAnsi="宋体"/>
          <w:b/>
          <w:sz w:val="28"/>
        </w:rPr>
        <w:t>）同期对比</w:t>
      </w: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37"/>
        <w:gridCol w:w="2856"/>
        <w:gridCol w:w="2730"/>
        <w:gridCol w:w="1925"/>
      </w:tblGrid>
      <w:tr w:rsidR="00DA7C51">
        <w:trPr>
          <w:trHeight w:val="216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城市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2016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年上半年</w:t>
            </w:r>
          </w:p>
          <w:p w:rsidR="00DA7C51" w:rsidRDefault="002C2D5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（微克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立方米）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2017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年上半年</w:t>
            </w:r>
          </w:p>
          <w:p w:rsidR="00DA7C51" w:rsidRDefault="002C2D5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（微克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立方米）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同比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西安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宝鸡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-7.2%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咸阳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-0.7%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铜川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-3.7%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渭南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4.9%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杨凌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0.8%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西咸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-7.4%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韩城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-23.5%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延安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-5.0%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榆林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-3.4%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汉中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6.7%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安康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-19.3%</w:t>
            </w:r>
          </w:p>
        </w:tc>
      </w:tr>
      <w:tr w:rsidR="00DA7C51">
        <w:trPr>
          <w:trHeight w:val="281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商洛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-12.0%</w:t>
            </w:r>
          </w:p>
        </w:tc>
      </w:tr>
    </w:tbl>
    <w:p w:rsidR="00DA7C51" w:rsidRDefault="002C2D5C">
      <w:pPr>
        <w:autoSpaceDN w:val="0"/>
        <w:spacing w:line="580" w:lineRule="exact"/>
        <w:ind w:firstLine="627"/>
        <w:jc w:val="left"/>
        <w:rPr>
          <w:rFonts w:hAnsi="宋体"/>
        </w:rPr>
      </w:pPr>
      <w:r>
        <w:rPr>
          <w:rFonts w:ascii="仿宋_GB2312" w:eastAsia="仿宋_GB2312" w:hAnsi="仿宋_GB2312"/>
          <w:b/>
          <w:spacing w:val="-4"/>
          <w:sz w:val="32"/>
        </w:rPr>
        <w:t>②细颗粒物（PM</w:t>
      </w:r>
      <w:r>
        <w:rPr>
          <w:rFonts w:ascii="仿宋_GB2312" w:eastAsia="仿宋_GB2312" w:hAnsi="仿宋_GB2312"/>
          <w:b/>
          <w:spacing w:val="-4"/>
          <w:sz w:val="32"/>
          <w:vertAlign w:val="subscript"/>
        </w:rPr>
        <w:t>2.5</w:t>
      </w:r>
      <w:r>
        <w:rPr>
          <w:rFonts w:ascii="仿宋_GB2312" w:eastAsia="仿宋_GB2312" w:hAnsi="仿宋_GB2312"/>
          <w:b/>
          <w:spacing w:val="-4"/>
          <w:sz w:val="32"/>
        </w:rPr>
        <w:t>）：</w:t>
      </w:r>
      <w:r>
        <w:rPr>
          <w:rFonts w:ascii="仿宋_GB2312" w:eastAsia="仿宋_GB2312" w:hAnsi="仿宋_GB2312"/>
          <w:sz w:val="32"/>
        </w:rPr>
        <w:t>铜川、杨凌、安康、商洛同比下降，西咸、汉中持平，其他市（区）同比上升。</w:t>
      </w:r>
    </w:p>
    <w:p w:rsidR="00DA7C51" w:rsidRDefault="002C2D5C">
      <w:pPr>
        <w:tabs>
          <w:tab w:val="left" w:pos="6660"/>
        </w:tabs>
        <w:autoSpaceDN w:val="0"/>
        <w:spacing w:line="500" w:lineRule="exact"/>
        <w:jc w:val="center"/>
        <w:rPr>
          <w:rFonts w:hAnsi="宋体"/>
        </w:rPr>
      </w:pPr>
      <w:r>
        <w:rPr>
          <w:rFonts w:ascii="宋体" w:hAnsi="宋体"/>
          <w:b/>
          <w:sz w:val="28"/>
        </w:rPr>
        <w:t>2017年上半年各市（区）细颗粒物（PM</w:t>
      </w:r>
      <w:r>
        <w:rPr>
          <w:rFonts w:ascii="宋体" w:hAnsi="宋体"/>
          <w:b/>
          <w:sz w:val="28"/>
          <w:vertAlign w:val="subscript"/>
        </w:rPr>
        <w:t>2.5</w:t>
      </w:r>
      <w:r>
        <w:rPr>
          <w:rFonts w:ascii="宋体" w:hAnsi="宋体"/>
          <w:b/>
          <w:sz w:val="28"/>
        </w:rPr>
        <w:t>）同期对比</w:t>
      </w:r>
    </w:p>
    <w:tbl>
      <w:tblPr>
        <w:tblW w:w="8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152"/>
        <w:gridCol w:w="2870"/>
        <w:gridCol w:w="2716"/>
        <w:gridCol w:w="2006"/>
      </w:tblGrid>
      <w:tr w:rsidR="00DA7C51">
        <w:trPr>
          <w:trHeight w:val="22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城市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2016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年上半年</w:t>
            </w:r>
          </w:p>
          <w:p w:rsidR="00DA7C51" w:rsidRDefault="002C2D5C" w:rsidP="005C5CF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（微克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立方米）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2017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年上半年</w:t>
            </w:r>
          </w:p>
          <w:p w:rsidR="00DA7C51" w:rsidRDefault="002C2D5C" w:rsidP="005C5CF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（微克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立方米）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同比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30.8%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宝鸡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13.3%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咸阳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16.3%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铜川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-5.0%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渭南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20.9%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杨凌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-7.1%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持平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韩城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11.3%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延安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榆林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5.7%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汉中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持平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安康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-21.4%</w:t>
            </w:r>
          </w:p>
        </w:tc>
      </w:tr>
      <w:tr w:rsidR="00DA7C51">
        <w:trPr>
          <w:trHeight w:val="29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商洛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5C5CF7">
            <w:pPr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-9.1%</w:t>
            </w:r>
          </w:p>
        </w:tc>
      </w:tr>
    </w:tbl>
    <w:p w:rsidR="00DA7C51" w:rsidRDefault="002C2D5C">
      <w:pPr>
        <w:autoSpaceDN w:val="0"/>
        <w:spacing w:line="580" w:lineRule="exact"/>
        <w:ind w:firstLine="643"/>
        <w:jc w:val="left"/>
        <w:rPr>
          <w:rFonts w:hAnsi="宋体"/>
        </w:rPr>
      </w:pPr>
      <w:r>
        <w:rPr>
          <w:rFonts w:ascii="仿宋_GB2312" w:eastAsia="仿宋_GB2312" w:hAnsi="仿宋_GB2312"/>
          <w:b/>
          <w:sz w:val="32"/>
        </w:rPr>
        <w:t>3.空气质量综合指数：</w:t>
      </w:r>
      <w:r>
        <w:rPr>
          <w:rFonts w:ascii="仿宋_GB2312" w:eastAsia="仿宋_GB2312" w:hAnsi="仿宋_GB2312"/>
          <w:sz w:val="32"/>
        </w:rPr>
        <w:t>铜川、西咸、韩城、汉中、安康、商洛同比下降，其他市（区）同比上升</w:t>
      </w:r>
      <w:r>
        <w:rPr>
          <w:rFonts w:ascii="仿宋_GB2312" w:eastAsia="仿宋_GB2312" w:hAnsi="仿宋_GB2312"/>
          <w:kern w:val="0"/>
          <w:sz w:val="32"/>
        </w:rPr>
        <w:t>。</w:t>
      </w:r>
    </w:p>
    <w:p w:rsidR="00DA7C51" w:rsidRDefault="002C2D5C">
      <w:pPr>
        <w:tabs>
          <w:tab w:val="left" w:pos="6660"/>
        </w:tabs>
        <w:autoSpaceDN w:val="0"/>
        <w:spacing w:line="500" w:lineRule="exact"/>
        <w:jc w:val="center"/>
        <w:rPr>
          <w:rFonts w:hAnsi="宋体"/>
        </w:rPr>
      </w:pPr>
      <w:r>
        <w:rPr>
          <w:rFonts w:ascii="宋体" w:hAnsi="宋体"/>
          <w:b/>
          <w:sz w:val="28"/>
        </w:rPr>
        <w:t>2017年上半年各市（区）综合指数同期对比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06"/>
        <w:gridCol w:w="2935"/>
        <w:gridCol w:w="2422"/>
        <w:gridCol w:w="2226"/>
      </w:tblGrid>
      <w:tr w:rsidR="00DA7C51">
        <w:trPr>
          <w:trHeight w:val="220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城市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2016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年上半年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2017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年上半年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同比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西安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7.51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8.33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10.9%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宝鸡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6.34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6.42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1.3%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咸阳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7.93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8.45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6.6%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铜川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6.12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5.98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-2.3%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渭南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8.03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10.0%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杨凌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6.33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6.42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1.4%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7.70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-6.4%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韩城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7.79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7.50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-3.7%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延安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5.78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6.40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10.7%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榆林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5.17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5.41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4.6%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汉中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5.73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5.68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-0.9%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安康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5.12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4.43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-13.5%</w:t>
            </w:r>
          </w:p>
        </w:tc>
      </w:tr>
      <w:tr w:rsidR="00DA7C51">
        <w:trPr>
          <w:trHeight w:val="27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商洛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widowControl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5.16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4.35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C51" w:rsidRDefault="002C2D5C" w:rsidP="00E353F2">
            <w:pPr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-15.7%</w:t>
            </w:r>
          </w:p>
        </w:tc>
      </w:tr>
    </w:tbl>
    <w:p w:rsidR="00DA7C51" w:rsidRDefault="002C2D5C" w:rsidP="00E353F2">
      <w:pPr>
        <w:autoSpaceDN w:val="0"/>
        <w:spacing w:line="500" w:lineRule="exact"/>
        <w:ind w:firstLineChars="200" w:firstLine="643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（五）自然降尘</w:t>
      </w:r>
    </w:p>
    <w:p w:rsidR="00DA7C51" w:rsidRDefault="002C2D5C" w:rsidP="00E353F2">
      <w:pPr>
        <w:autoSpaceDE w:val="0"/>
        <w:autoSpaceDN w:val="0"/>
        <w:spacing w:line="50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上半年，全省10个设区市和杨凌示范区降尘平均值范围为4.98～13.55吨/平方公里</w:t>
      </w:r>
      <w:r>
        <w:rPr>
          <w:rFonts w:ascii="宋体" w:hAnsi="宋体"/>
          <w:kern w:val="0"/>
          <w:sz w:val="32"/>
        </w:rPr>
        <w:t>·</w:t>
      </w:r>
      <w:r>
        <w:rPr>
          <w:rFonts w:ascii="仿宋_GB2312" w:eastAsia="仿宋_GB2312" w:hAnsi="仿宋_GB2312"/>
          <w:kern w:val="0"/>
          <w:sz w:val="32"/>
        </w:rPr>
        <w:t>月，全部达到18吨/平方公里</w:t>
      </w:r>
      <w:r>
        <w:rPr>
          <w:rFonts w:ascii="宋体" w:hAnsi="宋体"/>
          <w:kern w:val="0"/>
          <w:sz w:val="32"/>
        </w:rPr>
        <w:t>·</w:t>
      </w:r>
      <w:r>
        <w:rPr>
          <w:rFonts w:ascii="仿宋_GB2312" w:eastAsia="仿宋_GB2312" w:hAnsi="仿宋_GB2312"/>
          <w:kern w:val="0"/>
          <w:sz w:val="32"/>
        </w:rPr>
        <w:t>月的省控标准。降尘量较大的城市为西安、延安、铜川和咸阳。同比增幅较大的是汉中市和渭南市，分别升高23.2%和7.3%；同比降幅较大的是宝鸡市和铜川市，分别下降21.0%和19.3%。</w:t>
      </w:r>
    </w:p>
    <w:p w:rsidR="00DA7C51" w:rsidRDefault="002C2D5C">
      <w:pPr>
        <w:tabs>
          <w:tab w:val="left" w:pos="6660"/>
        </w:tabs>
        <w:spacing w:line="500" w:lineRule="exact"/>
        <w:jc w:val="center"/>
        <w:rPr>
          <w:rFonts w:ascii="宋体" w:hAnsi="宋体" w:cs="Courier New"/>
          <w:b/>
          <w:color w:val="000000"/>
          <w:sz w:val="28"/>
          <w:szCs w:val="28"/>
        </w:rPr>
      </w:pPr>
      <w:r>
        <w:rPr>
          <w:rFonts w:ascii="宋体" w:hAnsi="宋体" w:cs="Courier New" w:hint="eastAsia"/>
          <w:b/>
          <w:color w:val="000000"/>
          <w:sz w:val="28"/>
          <w:szCs w:val="28"/>
        </w:rPr>
        <w:t>2017年上半年各市（区）自然降尘量及对比</w:t>
      </w:r>
    </w:p>
    <w:p w:rsidR="00DA7C51" w:rsidRDefault="002C2D5C">
      <w:pPr>
        <w:autoSpaceDE w:val="0"/>
        <w:autoSpaceDN w:val="0"/>
        <w:adjustRightInd w:val="0"/>
        <w:spacing w:line="300" w:lineRule="exact"/>
        <w:ind w:right="210" w:firstLineChars="200" w:firstLine="420"/>
        <w:jc w:val="righ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单位：吨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平方公里</w:t>
      </w:r>
      <w:r>
        <w:rPr>
          <w:rFonts w:eastAsia="仿宋_GB2312"/>
          <w:szCs w:val="21"/>
        </w:rPr>
        <w:t>·</w:t>
      </w:r>
      <w:r>
        <w:rPr>
          <w:rFonts w:eastAsia="仿宋_GB2312" w:hint="eastAsia"/>
          <w:szCs w:val="21"/>
        </w:rPr>
        <w:t>月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2151"/>
        <w:gridCol w:w="2294"/>
        <w:gridCol w:w="2371"/>
      </w:tblGrid>
      <w:tr w:rsidR="00DA7C51" w:rsidRPr="00987AE2">
        <w:trPr>
          <w:trHeight w:val="14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987AE2">
              <w:rPr>
                <w:rFonts w:eastAsia="仿宋_GB2312" w:hint="eastAsia"/>
                <w:b/>
                <w:color w:val="000000" w:themeColor="text1"/>
                <w:sz w:val="24"/>
              </w:rPr>
              <w:t>城市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</w:rPr>
            </w:pPr>
            <w:r w:rsidRPr="00987AE2">
              <w:rPr>
                <w:rFonts w:eastAsia="仿宋_GB2312"/>
                <w:b/>
                <w:color w:val="000000" w:themeColor="text1"/>
                <w:sz w:val="24"/>
              </w:rPr>
              <w:t>2016</w:t>
            </w:r>
            <w:r w:rsidRPr="00987AE2">
              <w:rPr>
                <w:rFonts w:eastAsia="仿宋_GB2312" w:hint="eastAsia"/>
                <w:b/>
                <w:color w:val="000000" w:themeColor="text1"/>
                <w:sz w:val="24"/>
              </w:rPr>
              <w:t>年上半年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987AE2">
              <w:rPr>
                <w:rFonts w:eastAsia="仿宋_GB2312"/>
                <w:b/>
                <w:color w:val="000000" w:themeColor="text1"/>
                <w:sz w:val="24"/>
              </w:rPr>
              <w:t>2017</w:t>
            </w:r>
            <w:r w:rsidRPr="00987AE2">
              <w:rPr>
                <w:rFonts w:eastAsia="仿宋_GB2312" w:hint="eastAsia"/>
                <w:b/>
                <w:color w:val="000000" w:themeColor="text1"/>
                <w:sz w:val="24"/>
              </w:rPr>
              <w:t>年上半年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 w:rsidRPr="00987AE2">
              <w:rPr>
                <w:rFonts w:eastAsia="仿宋_GB2312" w:hint="eastAsia"/>
                <w:b/>
                <w:color w:val="000000" w:themeColor="text1"/>
                <w:sz w:val="24"/>
              </w:rPr>
              <w:t>同比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西安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14.89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13.55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-9.0%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宝鸡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6.95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5.49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-21.0%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咸阳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11.77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12.16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+3.3%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铜川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15.32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12.37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-19.3%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渭南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8.83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9.47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+7.3%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延安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15.87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-16.8%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榆林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7.66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7.95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+3.8%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汉中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4.04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4.98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+23.2%</w:t>
            </w:r>
          </w:p>
        </w:tc>
      </w:tr>
      <w:tr w:rsidR="00DA7C51" w:rsidRPr="00987AE2">
        <w:trPr>
          <w:trHeight w:val="9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安康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11.91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9.94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-16.5%</w:t>
            </w:r>
          </w:p>
        </w:tc>
      </w:tr>
      <w:tr w:rsidR="00DA7C51" w:rsidRPr="00987AE2">
        <w:trPr>
          <w:trHeight w:val="10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商洛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9.37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8.20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-12.5%</w:t>
            </w:r>
          </w:p>
        </w:tc>
      </w:tr>
      <w:tr w:rsidR="00DA7C51" w:rsidRPr="00987AE2">
        <w:trPr>
          <w:trHeight w:val="10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 w:hint="eastAsia"/>
                <w:color w:val="000000" w:themeColor="text1"/>
                <w:kern w:val="0"/>
                <w:sz w:val="24"/>
              </w:rPr>
              <w:t>杨凌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 xml:space="preserve">10.92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9.70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51" w:rsidRPr="00987AE2" w:rsidRDefault="002C2D5C" w:rsidP="005C5CF7">
            <w:pPr>
              <w:widowControl/>
              <w:snapToGrid w:val="0"/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987AE2">
              <w:rPr>
                <w:rFonts w:eastAsia="仿宋_GB2312"/>
                <w:color w:val="000000" w:themeColor="text1"/>
                <w:kern w:val="0"/>
                <w:sz w:val="24"/>
              </w:rPr>
              <w:t>-11.2%</w:t>
            </w:r>
          </w:p>
        </w:tc>
      </w:tr>
    </w:tbl>
    <w:p w:rsidR="00DA7C51" w:rsidRDefault="002C2D5C" w:rsidP="00E353F2">
      <w:pPr>
        <w:autoSpaceDN w:val="0"/>
        <w:spacing w:line="500" w:lineRule="exact"/>
        <w:ind w:firstLineChars="200" w:firstLine="643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（六）降水酸度</w:t>
      </w:r>
    </w:p>
    <w:p w:rsidR="00DA7C51" w:rsidRDefault="002C2D5C" w:rsidP="00E353F2">
      <w:pPr>
        <w:autoSpaceDN w:val="0"/>
        <w:spacing w:line="50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上半年, 全省10个设区市、韩城市、耀州区、三原县、略阳县和华阴市共15个市（县区）监测降水酸度，共</w:t>
      </w:r>
      <w:proofErr w:type="gramStart"/>
      <w:r>
        <w:rPr>
          <w:rFonts w:ascii="仿宋_GB2312" w:eastAsia="仿宋_GB2312" w:hAnsi="仿宋_GB2312"/>
          <w:kern w:val="0"/>
          <w:sz w:val="32"/>
        </w:rPr>
        <w:t>采集雨样377个</w:t>
      </w:r>
      <w:proofErr w:type="gramEnd"/>
      <w:r>
        <w:rPr>
          <w:rFonts w:ascii="仿宋_GB2312" w:eastAsia="仿宋_GB2312" w:hAnsi="仿宋_GB2312"/>
          <w:kern w:val="0"/>
          <w:sz w:val="32"/>
        </w:rPr>
        <w:t>, 未检出酸雨样品，同比保持不变。</w:t>
      </w:r>
    </w:p>
    <w:p w:rsidR="00DA7C51" w:rsidRDefault="002C2D5C" w:rsidP="00E353F2">
      <w:pPr>
        <w:autoSpaceDE w:val="0"/>
        <w:autoSpaceDN w:val="0"/>
        <w:spacing w:line="500" w:lineRule="exact"/>
        <w:ind w:firstLine="640"/>
        <w:rPr>
          <w:rFonts w:hAnsi="宋体"/>
        </w:rPr>
      </w:pPr>
      <w:r>
        <w:rPr>
          <w:rFonts w:ascii="黑体" w:eastAsia="黑体" w:hAnsi="黑体"/>
          <w:sz w:val="32"/>
        </w:rPr>
        <w:t>三、地表水环境质量状况</w:t>
      </w:r>
    </w:p>
    <w:p w:rsidR="00DA7C51" w:rsidRDefault="002C2D5C" w:rsidP="00E353F2">
      <w:pPr>
        <w:autoSpaceDN w:val="0"/>
        <w:spacing w:line="50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按照《地表水环境质量标准》（GB3838-2002）,对汉江、丹江、嘉陵江、渭河、延河、无定河，以及黄河干流和部分一级支流开展监测评价。</w:t>
      </w:r>
    </w:p>
    <w:p w:rsidR="00DA7C51" w:rsidRDefault="002C2D5C" w:rsidP="00E353F2">
      <w:pPr>
        <w:autoSpaceDN w:val="0"/>
        <w:spacing w:line="50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全省58条河流120个河流断面化学需氧量、氨氮平均浓度分别</w:t>
      </w:r>
      <w:r>
        <w:rPr>
          <w:rFonts w:ascii="仿宋_GB2312" w:eastAsia="仿宋_GB2312" w:hAnsi="仿宋_GB2312"/>
          <w:kern w:val="0"/>
          <w:sz w:val="32"/>
        </w:rPr>
        <w:lastRenderedPageBreak/>
        <w:t>为16mg/L、0.977mg/L；与2016年同期相比，化学需氧量下降5.9%，氨氮微升0.8%；与2015年同期相比，分别下降5.9%、9.8%。</w:t>
      </w:r>
    </w:p>
    <w:p w:rsidR="00DA7C51" w:rsidRDefault="00EE6378">
      <w:pPr>
        <w:widowControl/>
        <w:autoSpaceDE w:val="0"/>
        <w:autoSpaceDN w:val="0"/>
        <w:spacing w:line="360" w:lineRule="auto"/>
        <w:ind w:firstLine="420"/>
        <w:jc w:val="left"/>
        <w:rPr>
          <w:rFonts w:hAnsi="宋体"/>
          <w:color w:val="000000"/>
        </w:rPr>
      </w:pPr>
      <w:r w:rsidRPr="00E636E5">
        <w:rPr>
          <w:rFonts w:hAnsi="宋体"/>
          <w:color w:val="000000"/>
        </w:rPr>
        <w:pict>
          <v:shape id="Picture 4" o:spid="_x0000_i1027" type="#_x0000_t75" style="width:393pt;height:187.5pt">
            <v:imagedata r:id="rId8" o:title=""/>
          </v:shape>
        </w:pict>
      </w:r>
    </w:p>
    <w:p w:rsidR="00DA7C51" w:rsidRDefault="002C2D5C">
      <w:pPr>
        <w:widowControl/>
        <w:autoSpaceDE w:val="0"/>
        <w:autoSpaceDN w:val="0"/>
        <w:spacing w:line="360" w:lineRule="auto"/>
        <w:ind w:firstLine="480"/>
        <w:jc w:val="center"/>
        <w:rPr>
          <w:rFonts w:hAnsi="宋体"/>
          <w:color w:val="000000"/>
        </w:rPr>
      </w:pPr>
      <w:r>
        <w:rPr>
          <w:rFonts w:ascii="黑体" w:eastAsia="黑体" w:hAnsi="黑体"/>
          <w:color w:val="000000"/>
          <w:kern w:val="0"/>
          <w:sz w:val="24"/>
        </w:rPr>
        <w:t>全省河流化学需氧量和氨氮平均浓度年际比较图</w:t>
      </w:r>
    </w:p>
    <w:p w:rsidR="00DA7C51" w:rsidRDefault="002C2D5C" w:rsidP="00E353F2">
      <w:pPr>
        <w:widowControl/>
        <w:autoSpaceDE w:val="0"/>
        <w:autoSpaceDN w:val="0"/>
        <w:snapToGrid w:val="0"/>
        <w:spacing w:line="500" w:lineRule="exact"/>
        <w:ind w:firstLine="641"/>
        <w:rPr>
          <w:rFonts w:hAnsi="宋体"/>
        </w:rPr>
      </w:pPr>
      <w:r>
        <w:rPr>
          <w:rFonts w:ascii="楷体_GB2312" w:eastAsia="楷体_GB2312" w:hAnsi="楷体_GB2312"/>
          <w:b/>
          <w:sz w:val="32"/>
        </w:rPr>
        <w:t>（一）汉江、丹江、嘉陵江水质稳定保持优。</w:t>
      </w:r>
      <w:r>
        <w:rPr>
          <w:rFonts w:ascii="仿宋_GB2312" w:eastAsia="仿宋_GB2312" w:hAnsi="仿宋_GB2312"/>
          <w:kern w:val="0"/>
          <w:sz w:val="32"/>
        </w:rPr>
        <w:t>三条河流及其支流共38个监测断面全部为Ⅰ～Ⅲ类水质，水质稳定保持优。</w:t>
      </w:r>
    </w:p>
    <w:p w:rsidR="00DA7C51" w:rsidRDefault="002C2D5C" w:rsidP="00E353F2">
      <w:pPr>
        <w:widowControl/>
        <w:autoSpaceDE w:val="0"/>
        <w:autoSpaceDN w:val="0"/>
        <w:snapToGrid w:val="0"/>
        <w:spacing w:line="500" w:lineRule="exact"/>
        <w:ind w:firstLine="641"/>
        <w:rPr>
          <w:rFonts w:hAnsi="宋体"/>
        </w:rPr>
      </w:pPr>
      <w:r>
        <w:rPr>
          <w:rFonts w:ascii="楷体_GB2312" w:eastAsia="楷体_GB2312" w:hAnsi="楷体_GB2312"/>
          <w:b/>
          <w:sz w:val="32"/>
        </w:rPr>
        <w:t>（二）渭河干流水质</w:t>
      </w:r>
      <w:r>
        <w:rPr>
          <w:rFonts w:ascii="楷体_GB2312" w:eastAsia="楷体_GB2312" w:hAnsi="楷体_GB2312" w:hint="eastAsia"/>
          <w:b/>
          <w:sz w:val="32"/>
        </w:rPr>
        <w:t>轻</w:t>
      </w:r>
      <w:r>
        <w:rPr>
          <w:rFonts w:ascii="楷体_GB2312" w:eastAsia="楷体_GB2312" w:hAnsi="楷体_GB2312"/>
          <w:b/>
          <w:sz w:val="32"/>
        </w:rPr>
        <w:t>度污染。</w:t>
      </w:r>
      <w:r>
        <w:rPr>
          <w:rFonts w:ascii="仿宋_GB2312" w:eastAsia="仿宋_GB2312" w:hAnsi="仿宋_GB2312"/>
          <w:kern w:val="0"/>
          <w:sz w:val="32"/>
        </w:rPr>
        <w:t>渭河干流19个断面中，Ⅰ～Ⅲ类断面</w:t>
      </w:r>
      <w:r>
        <w:rPr>
          <w:rFonts w:ascii="仿宋_GB2312" w:eastAsia="仿宋_GB2312" w:hAnsi="仿宋_GB2312" w:hint="eastAsia"/>
          <w:kern w:val="0"/>
          <w:sz w:val="32"/>
        </w:rPr>
        <w:t>4</w:t>
      </w:r>
      <w:r>
        <w:rPr>
          <w:rFonts w:ascii="仿宋_GB2312" w:eastAsia="仿宋_GB2312" w:hAnsi="仿宋_GB2312"/>
          <w:kern w:val="0"/>
          <w:sz w:val="32"/>
        </w:rPr>
        <w:t>个，Ⅳ类</w:t>
      </w:r>
      <w:r>
        <w:rPr>
          <w:rFonts w:ascii="仿宋_GB2312" w:eastAsia="仿宋_GB2312" w:hAnsi="仿宋_GB2312" w:hint="eastAsia"/>
          <w:kern w:val="0"/>
          <w:sz w:val="32"/>
        </w:rPr>
        <w:t>9</w:t>
      </w:r>
      <w:r>
        <w:rPr>
          <w:rFonts w:ascii="仿宋_GB2312" w:eastAsia="仿宋_GB2312" w:hAnsi="仿宋_GB2312"/>
          <w:kern w:val="0"/>
          <w:sz w:val="32"/>
        </w:rPr>
        <w:t>个，Ⅴ类</w:t>
      </w:r>
      <w:r>
        <w:rPr>
          <w:rFonts w:ascii="仿宋_GB2312" w:eastAsia="仿宋_GB2312" w:hAnsi="仿宋_GB2312" w:hint="eastAsia"/>
          <w:kern w:val="0"/>
          <w:sz w:val="32"/>
        </w:rPr>
        <w:t>5</w:t>
      </w:r>
      <w:r>
        <w:rPr>
          <w:rFonts w:ascii="仿宋_GB2312" w:eastAsia="仿宋_GB2312" w:hAnsi="仿宋_GB2312"/>
          <w:kern w:val="0"/>
          <w:sz w:val="32"/>
        </w:rPr>
        <w:t>个，劣Ⅴ类</w:t>
      </w:r>
      <w:r>
        <w:rPr>
          <w:rFonts w:ascii="仿宋_GB2312" w:eastAsia="仿宋_GB2312" w:hAnsi="仿宋_GB2312" w:hint="eastAsia"/>
          <w:kern w:val="0"/>
          <w:sz w:val="32"/>
        </w:rPr>
        <w:t>1</w:t>
      </w:r>
      <w:r>
        <w:rPr>
          <w:rFonts w:ascii="仿宋_GB2312" w:eastAsia="仿宋_GB2312" w:hAnsi="仿宋_GB2312"/>
          <w:kern w:val="0"/>
          <w:sz w:val="32"/>
        </w:rPr>
        <w:t>个。化学需氧量、氨氮平均浓度分别为19mg/L、1.109mg/L；与2016年同期相比，分别下降13.6%、26.5%；与2015年同期相比，化学需氧量平均浓度上升5.6%，氨氮下降16.2%。</w:t>
      </w:r>
    </w:p>
    <w:p w:rsidR="00DA7C51" w:rsidRDefault="00EE6378">
      <w:pPr>
        <w:widowControl/>
        <w:autoSpaceDE w:val="0"/>
        <w:autoSpaceDN w:val="0"/>
        <w:jc w:val="center"/>
        <w:rPr>
          <w:rFonts w:hAnsi="宋体"/>
          <w:color w:val="000000"/>
        </w:rPr>
      </w:pPr>
      <w:r w:rsidRPr="00E636E5">
        <w:rPr>
          <w:rFonts w:hAnsi="宋体"/>
          <w:color w:val="000000"/>
        </w:rPr>
        <w:pict>
          <v:shape id="Picture 5" o:spid="_x0000_i1028" type="#_x0000_t75" style="width:442.5pt;height:151.5pt">
            <v:imagedata r:id="rId9" o:title=""/>
          </v:shape>
        </w:pict>
      </w:r>
    </w:p>
    <w:p w:rsidR="00DA7C51" w:rsidRDefault="002C2D5C">
      <w:pPr>
        <w:widowControl/>
        <w:autoSpaceDE w:val="0"/>
        <w:autoSpaceDN w:val="0"/>
        <w:jc w:val="center"/>
        <w:rPr>
          <w:rFonts w:hAnsi="宋体"/>
          <w:color w:val="000000"/>
        </w:rPr>
      </w:pPr>
      <w:r>
        <w:rPr>
          <w:rFonts w:ascii="黑体" w:eastAsia="黑体" w:hAnsi="黑体"/>
          <w:color w:val="000000"/>
          <w:kern w:val="0"/>
          <w:sz w:val="24"/>
        </w:rPr>
        <w:t>渭河干流化学需氧量和氨氮平均浓度年际比较图</w:t>
      </w:r>
    </w:p>
    <w:p w:rsidR="00DA7C51" w:rsidRDefault="002C2D5C" w:rsidP="007E7F11">
      <w:pPr>
        <w:widowControl/>
        <w:tabs>
          <w:tab w:val="left" w:pos="7560"/>
        </w:tabs>
        <w:autoSpaceDE w:val="0"/>
        <w:autoSpaceDN w:val="0"/>
        <w:spacing w:line="580" w:lineRule="exact"/>
        <w:ind w:firstLine="643"/>
        <w:jc w:val="left"/>
        <w:rPr>
          <w:rFonts w:hAnsi="宋体"/>
          <w:color w:val="000000"/>
        </w:rPr>
      </w:pPr>
      <w:r>
        <w:rPr>
          <w:rFonts w:ascii="仿宋_GB2312" w:eastAsia="仿宋_GB2312" w:hAnsi="仿宋_GB2312"/>
          <w:b/>
          <w:color w:val="000000"/>
          <w:kern w:val="0"/>
          <w:sz w:val="32"/>
        </w:rPr>
        <w:t>化学需氧量</w:t>
      </w:r>
      <w:r>
        <w:rPr>
          <w:rFonts w:ascii="仿宋_GB2312" w:eastAsia="仿宋_GB2312" w:hAnsi="仿宋_GB2312"/>
          <w:color w:val="000000"/>
          <w:kern w:val="0"/>
          <w:sz w:val="32"/>
        </w:rPr>
        <w:t>：各断面类别均在Ⅰ～Ⅳ类之间。</w:t>
      </w:r>
      <w:r>
        <w:rPr>
          <w:rFonts w:ascii="仿宋_GB2312" w:eastAsia="仿宋_GB2312" w:hAnsi="仿宋_GB2312"/>
          <w:color w:val="000000"/>
          <w:kern w:val="0"/>
          <w:sz w:val="32"/>
        </w:rPr>
        <w:tab/>
      </w:r>
    </w:p>
    <w:p w:rsidR="00DA7C51" w:rsidRDefault="002C2D5C" w:rsidP="00E353F2">
      <w:pPr>
        <w:widowControl/>
        <w:autoSpaceDE w:val="0"/>
        <w:autoSpaceDN w:val="0"/>
        <w:spacing w:line="480" w:lineRule="exact"/>
        <w:ind w:firstLine="643"/>
        <w:jc w:val="left"/>
        <w:rPr>
          <w:rFonts w:hAnsi="宋体"/>
          <w:color w:val="000000"/>
        </w:rPr>
      </w:pPr>
      <w:r>
        <w:rPr>
          <w:rFonts w:ascii="仿宋_GB2312" w:eastAsia="仿宋_GB2312" w:hAnsi="仿宋_GB2312"/>
          <w:b/>
          <w:color w:val="000000"/>
          <w:kern w:val="0"/>
          <w:sz w:val="32"/>
        </w:rPr>
        <w:t>氨氮：</w:t>
      </w:r>
      <w:proofErr w:type="gramStart"/>
      <w:r>
        <w:rPr>
          <w:rFonts w:ascii="仿宋_GB2312" w:eastAsia="仿宋_GB2312" w:hAnsi="仿宋_GB2312"/>
          <w:color w:val="000000"/>
          <w:kern w:val="0"/>
          <w:sz w:val="32"/>
        </w:rPr>
        <w:t>天江人</w:t>
      </w:r>
      <w:proofErr w:type="gramEnd"/>
      <w:r>
        <w:rPr>
          <w:rFonts w:ascii="仿宋_GB2312" w:eastAsia="仿宋_GB2312" w:hAnsi="仿宋_GB2312"/>
          <w:color w:val="000000"/>
          <w:kern w:val="0"/>
          <w:sz w:val="32"/>
        </w:rPr>
        <w:t>渡断面为劣Ⅴ类，其他18个断面在Ⅱ～Ⅴ类之间。</w:t>
      </w:r>
      <w:r>
        <w:rPr>
          <w:rFonts w:hAnsi="宋体"/>
          <w:b/>
          <w:color w:val="000000"/>
          <w:sz w:val="28"/>
        </w:rPr>
        <w:t xml:space="preserve">  </w:t>
      </w:r>
    </w:p>
    <w:p w:rsidR="00DA7C51" w:rsidRDefault="002C2D5C" w:rsidP="00E353F2">
      <w:pPr>
        <w:widowControl/>
        <w:autoSpaceDE w:val="0"/>
        <w:autoSpaceDN w:val="0"/>
        <w:spacing w:line="480" w:lineRule="exact"/>
        <w:ind w:firstLine="643"/>
        <w:jc w:val="left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lastRenderedPageBreak/>
        <w:t>（三）渭河支流水质中度污染。</w:t>
      </w:r>
    </w:p>
    <w:p w:rsidR="00DA7C51" w:rsidRDefault="00E636E5" w:rsidP="00E353F2">
      <w:pPr>
        <w:widowControl/>
        <w:autoSpaceDE w:val="0"/>
        <w:autoSpaceDN w:val="0"/>
        <w:spacing w:line="480" w:lineRule="exact"/>
        <w:ind w:firstLine="640"/>
        <w:jc w:val="left"/>
        <w:rPr>
          <w:rFonts w:hAnsi="宋体"/>
        </w:rPr>
      </w:pPr>
      <w:r w:rsidRPr="00E636E5">
        <w:rPr>
          <w:rFonts w:hAnsi="宋体"/>
          <w:color w:val="000000"/>
        </w:rPr>
        <w:pict>
          <v:shape id="Picture 8" o:spid="_x0000_s1032" type="#_x0000_t75" style="position:absolute;left:0;text-align:left;margin-left:-.05pt;margin-top:106.55pt;width:442.55pt;height:146.25pt;z-index:1">
            <v:imagedata r:id="rId10" o:title=""/>
            <w10:wrap type="topAndBottom"/>
          </v:shape>
        </w:pict>
      </w:r>
      <w:r w:rsidR="002C2D5C">
        <w:rPr>
          <w:rFonts w:ascii="仿宋_GB2312" w:eastAsia="仿宋_GB2312" w:hAnsi="仿宋_GB2312"/>
          <w:kern w:val="0"/>
          <w:sz w:val="32"/>
        </w:rPr>
        <w:t>渭河支流36个断面中，Ⅰ～Ⅲ类断面13个，Ⅳ类5个，Ⅴ类7个，劣Ⅴ类11个。化学需氧量、氨氮平均浓度分别为18mg/L、1.654mg/L；与2016年同期相比，化学需氧量下降18.2%，氨氮微升0.2%；与2015年同期相比，分别下降10.0%、14.8%。</w:t>
      </w:r>
    </w:p>
    <w:p w:rsidR="00DA7C51" w:rsidRDefault="002C2D5C">
      <w:pPr>
        <w:autoSpaceDE w:val="0"/>
        <w:autoSpaceDN w:val="0"/>
        <w:spacing w:after="48"/>
        <w:jc w:val="center"/>
        <w:rPr>
          <w:rFonts w:hAnsi="宋体"/>
          <w:color w:val="000000"/>
        </w:rPr>
      </w:pPr>
      <w:r>
        <w:rPr>
          <w:rFonts w:ascii="黑体" w:eastAsia="黑体" w:hAnsi="黑体"/>
          <w:color w:val="000000"/>
          <w:kern w:val="0"/>
          <w:sz w:val="24"/>
        </w:rPr>
        <w:t>渭河支流化学需氧量和氨氮平均浓度年际比较图</w:t>
      </w:r>
    </w:p>
    <w:p w:rsidR="00DA7C51" w:rsidRPr="007E7F11" w:rsidRDefault="002C2D5C" w:rsidP="00E353F2">
      <w:pPr>
        <w:autoSpaceDN w:val="0"/>
        <w:spacing w:line="480" w:lineRule="exact"/>
        <w:ind w:firstLine="641"/>
        <w:rPr>
          <w:rFonts w:hAnsi="宋体"/>
        </w:rPr>
      </w:pPr>
      <w:r>
        <w:rPr>
          <w:rFonts w:ascii="仿宋_GB2312" w:eastAsia="仿宋_GB2312" w:hAnsi="仿宋_GB2312"/>
          <w:kern w:val="0"/>
          <w:sz w:val="32"/>
        </w:rPr>
        <w:t>与2016年同期相比，有12条支流水质类别发生变化：其中千河、石头河、宝鸡峡总干渠、金陵河、漆水河、泾河、涝河、小漆水河、石川河水质改善；</w:t>
      </w:r>
      <w:proofErr w:type="gramStart"/>
      <w:r>
        <w:rPr>
          <w:rFonts w:ascii="仿宋_GB2312" w:eastAsia="仿宋_GB2312" w:hAnsi="仿宋_GB2312"/>
          <w:kern w:val="0"/>
          <w:sz w:val="32"/>
        </w:rPr>
        <w:t>沣</w:t>
      </w:r>
      <w:proofErr w:type="gramEnd"/>
      <w:r>
        <w:rPr>
          <w:rFonts w:ascii="仿宋_GB2312" w:eastAsia="仿宋_GB2312" w:hAnsi="仿宋_GB2312"/>
          <w:kern w:val="0"/>
          <w:sz w:val="32"/>
        </w:rPr>
        <w:t>河、</w:t>
      </w:r>
      <w:proofErr w:type="gramStart"/>
      <w:r>
        <w:rPr>
          <w:rFonts w:ascii="仿宋_GB2312" w:eastAsia="仿宋_GB2312" w:hAnsi="仿宋_GB2312"/>
          <w:kern w:val="0"/>
          <w:sz w:val="32"/>
        </w:rPr>
        <w:t>灞</w:t>
      </w:r>
      <w:proofErr w:type="gramEnd"/>
      <w:r>
        <w:rPr>
          <w:rFonts w:ascii="仿宋_GB2312" w:eastAsia="仿宋_GB2312" w:hAnsi="仿宋_GB2312"/>
          <w:kern w:val="0"/>
          <w:sz w:val="32"/>
        </w:rPr>
        <w:t>河、尤河水质下降。</w:t>
      </w:r>
    </w:p>
    <w:p w:rsidR="00DA7C51" w:rsidRDefault="002C2D5C" w:rsidP="00E353F2">
      <w:pPr>
        <w:autoSpaceDE w:val="0"/>
        <w:autoSpaceDN w:val="0"/>
        <w:spacing w:line="480" w:lineRule="exact"/>
        <w:ind w:firstLineChars="200" w:firstLine="643"/>
        <w:rPr>
          <w:rFonts w:ascii="仿宋_GB2312" w:eastAsia="仿宋_GB2312" w:hAnsi="仿宋_GB2312"/>
          <w:kern w:val="0"/>
          <w:sz w:val="32"/>
        </w:rPr>
      </w:pPr>
      <w:r>
        <w:rPr>
          <w:rFonts w:ascii="楷体_GB2312" w:eastAsia="楷体_GB2312" w:hAnsi="楷体_GB2312"/>
          <w:b/>
          <w:kern w:val="0"/>
          <w:sz w:val="32"/>
        </w:rPr>
        <w:t>（四）无定河水质轻度污染。</w:t>
      </w:r>
      <w:r>
        <w:rPr>
          <w:rFonts w:ascii="仿宋_GB2312" w:eastAsia="仿宋_GB2312" w:hAnsi="仿宋_GB2312"/>
          <w:kern w:val="0"/>
          <w:sz w:val="32"/>
        </w:rPr>
        <w:t>无定河共6个断面，Ⅱ类断面2个，Ⅳ类断面2个，Ⅴ类断面2个。化学需氧量、氨氮平均浓度分别为19mg/L、1.027mg/L；与2016年同期相比，化学需氧量平均浓度下降9.5%，氨氮上升17.2%；与2015年同期相比，化学需氧量平均浓度持平，氨氮下降9.0%。</w:t>
      </w:r>
    </w:p>
    <w:p w:rsidR="00DA7C51" w:rsidRDefault="00E636E5">
      <w:pPr>
        <w:autoSpaceDN w:val="0"/>
        <w:spacing w:line="580" w:lineRule="exact"/>
        <w:ind w:firstLine="420"/>
        <w:jc w:val="center"/>
        <w:rPr>
          <w:rFonts w:hAnsi="宋体"/>
          <w:color w:val="000000"/>
        </w:rPr>
      </w:pPr>
      <w:r>
        <w:rPr>
          <w:rFonts w:hAnsi="宋体"/>
          <w:color w:val="000000"/>
        </w:rPr>
        <w:pict>
          <v:shape id="Picture 9" o:spid="_x0000_s1033" type="#_x0000_t75" style="position:absolute;left:0;text-align:left;margin-left:-23pt;margin-top:11.25pt;width:442.55pt;height:136.55pt;z-index:2">
            <v:imagedata r:id="rId11" o:title=""/>
            <w10:wrap type="topAndBottom"/>
          </v:shape>
        </w:pict>
      </w:r>
      <w:r w:rsidR="002C2D5C">
        <w:rPr>
          <w:rFonts w:ascii="黑体" w:eastAsia="黑体" w:hAnsi="黑体"/>
          <w:color w:val="000000"/>
          <w:kern w:val="0"/>
          <w:sz w:val="24"/>
        </w:rPr>
        <w:t>无定河流域化学需氧量和氨氮平均浓度年际比较图</w:t>
      </w:r>
    </w:p>
    <w:p w:rsidR="00DA7C51" w:rsidRDefault="00E636E5" w:rsidP="00B8255D">
      <w:pPr>
        <w:autoSpaceDN w:val="0"/>
        <w:spacing w:line="540" w:lineRule="exact"/>
        <w:ind w:firstLineChars="196" w:firstLine="630"/>
        <w:rPr>
          <w:rFonts w:ascii="仿宋_GB2312" w:eastAsia="仿宋_GB2312" w:hAnsi="仿宋_GB2312"/>
          <w:sz w:val="32"/>
        </w:rPr>
      </w:pPr>
      <w:r w:rsidRPr="00E636E5">
        <w:rPr>
          <w:rFonts w:ascii="楷体_GB2312" w:eastAsia="楷体_GB2312" w:hAnsi="楷体_GB2312"/>
          <w:b/>
          <w:kern w:val="0"/>
          <w:sz w:val="32"/>
        </w:rPr>
        <w:lastRenderedPageBreak/>
        <w:pict>
          <v:shape id="Picture 10" o:spid="_x0000_s1034" type="#_x0000_t75" style="position:absolute;left:0;text-align:left;margin-left:21pt;margin-top:143.45pt;width:376.5pt;height:180.65pt;z-index:3">
            <v:imagedata r:id="rId12" o:title=""/>
            <w10:wrap type="topAndBottom"/>
          </v:shape>
        </w:pict>
      </w:r>
      <w:r w:rsidR="002C2D5C">
        <w:rPr>
          <w:rFonts w:ascii="楷体_GB2312" w:eastAsia="楷体_GB2312" w:hAnsi="楷体_GB2312"/>
          <w:b/>
          <w:kern w:val="0"/>
          <w:sz w:val="32"/>
        </w:rPr>
        <w:t>（五）延河水质重度污染。</w:t>
      </w:r>
      <w:r w:rsidR="002C2D5C">
        <w:rPr>
          <w:rFonts w:ascii="仿宋_GB2312" w:eastAsia="仿宋_GB2312" w:hAnsi="仿宋_GB2312"/>
          <w:kern w:val="0"/>
          <w:sz w:val="32"/>
        </w:rPr>
        <w:t>延河共5个断面，Ⅴ类断面3个，劣V类断面2个。其化学需氧量、氨氮平均浓度分别为22mg/L、2.351mg/L。</w:t>
      </w:r>
      <w:r w:rsidR="002C2D5C">
        <w:rPr>
          <w:rFonts w:ascii="仿宋_GB2312" w:eastAsia="仿宋_GB2312" w:hAnsi="仿宋_GB2312"/>
          <w:sz w:val="32"/>
        </w:rPr>
        <w:t>与2016年同期相比，其中化学需氧量平均浓度下降21.4%，氨氮平均浓度上升49.6%;与2015年同期相比，化学需氧量平均浓度下降8.3%，氨氮平均浓度上升84.4%。</w:t>
      </w:r>
    </w:p>
    <w:p w:rsidR="00B8255D" w:rsidRDefault="00B8255D" w:rsidP="00B8255D">
      <w:pPr>
        <w:autoSpaceDN w:val="0"/>
        <w:spacing w:line="540" w:lineRule="exact"/>
        <w:ind w:firstLineChars="196" w:firstLine="412"/>
        <w:rPr>
          <w:rFonts w:hAnsi="宋体"/>
        </w:rPr>
      </w:pPr>
    </w:p>
    <w:p w:rsidR="00DA7C51" w:rsidRDefault="002C2D5C">
      <w:pPr>
        <w:autoSpaceDN w:val="0"/>
        <w:jc w:val="center"/>
        <w:rPr>
          <w:rFonts w:hAnsi="宋体"/>
          <w:color w:val="000000"/>
        </w:rPr>
      </w:pPr>
      <w:r>
        <w:rPr>
          <w:rFonts w:hAnsi="宋体"/>
          <w:b/>
          <w:color w:val="000000"/>
          <w:sz w:val="28"/>
        </w:rPr>
        <w:t xml:space="preserve"> </w:t>
      </w:r>
      <w:r>
        <w:rPr>
          <w:rFonts w:ascii="黑体" w:eastAsia="黑体" w:hAnsi="黑体"/>
          <w:color w:val="000000"/>
          <w:kern w:val="0"/>
          <w:sz w:val="24"/>
        </w:rPr>
        <w:t>延河流域化学需氧量和氨氮平均浓度年际比较图</w:t>
      </w:r>
    </w:p>
    <w:p w:rsidR="00DA7C51" w:rsidRDefault="002C2D5C" w:rsidP="00E353F2">
      <w:pPr>
        <w:widowControl/>
        <w:autoSpaceDE w:val="0"/>
        <w:autoSpaceDN w:val="0"/>
        <w:spacing w:line="540" w:lineRule="exact"/>
        <w:ind w:firstLineChars="196" w:firstLine="630"/>
        <w:jc w:val="left"/>
        <w:rPr>
          <w:rFonts w:ascii="楷体_GB2312" w:eastAsia="楷体_GB2312" w:hAnsi="楷体_GB2312"/>
          <w:b/>
          <w:kern w:val="0"/>
          <w:sz w:val="32"/>
        </w:rPr>
      </w:pPr>
      <w:r>
        <w:rPr>
          <w:rFonts w:ascii="楷体_GB2312" w:eastAsia="楷体_GB2312" w:hAnsi="楷体_GB2312"/>
          <w:b/>
          <w:kern w:val="0"/>
          <w:sz w:val="32"/>
        </w:rPr>
        <w:t>（六）黄河中游（陕西段）</w:t>
      </w:r>
    </w:p>
    <w:p w:rsidR="00DA7C51" w:rsidRDefault="002C2D5C" w:rsidP="00E353F2">
      <w:pPr>
        <w:widowControl/>
        <w:autoSpaceDE w:val="0"/>
        <w:autoSpaceDN w:val="0"/>
        <w:spacing w:line="540" w:lineRule="exact"/>
        <w:ind w:firstLineChars="196" w:firstLine="627"/>
        <w:jc w:val="left"/>
        <w:rPr>
          <w:rFonts w:ascii="仿宋_GB2312" w:eastAsia="仿宋_GB2312" w:hAnsi="宋体"/>
        </w:rPr>
      </w:pPr>
      <w:r>
        <w:rPr>
          <w:rFonts w:ascii="仿宋_GB2312" w:eastAsia="仿宋_GB2312" w:hAnsi="仿宋_GB2312" w:hint="eastAsia"/>
          <w:kern w:val="0"/>
          <w:sz w:val="32"/>
        </w:rPr>
        <w:t>黄河干流和10条直接入黄支流共16个监测断面中，Ⅰ～Ⅲ类断面7个，Ⅳ类6个，劣Ⅴ类3个。其中商洛南洛河水质优；延安</w:t>
      </w:r>
      <w:proofErr w:type="gramStart"/>
      <w:r>
        <w:rPr>
          <w:rFonts w:ascii="仿宋_GB2312" w:eastAsia="仿宋_GB2312" w:hAnsi="仿宋_GB2312" w:hint="eastAsia"/>
          <w:kern w:val="0"/>
          <w:sz w:val="32"/>
        </w:rPr>
        <w:t>仕</w:t>
      </w:r>
      <w:proofErr w:type="gramEnd"/>
      <w:r>
        <w:rPr>
          <w:rFonts w:ascii="仿宋_GB2312" w:eastAsia="仿宋_GB2312" w:hAnsi="仿宋_GB2312" w:hint="eastAsia"/>
          <w:kern w:val="0"/>
          <w:sz w:val="32"/>
        </w:rPr>
        <w:t>望河、云岩河、榆林黄河干流、榆林秃尾河、渭南徐水河水质良好；榆林</w:t>
      </w:r>
      <w:r>
        <w:rPr>
          <w:rFonts w:ascii="宋体" w:hAnsi="宋体" w:hint="eastAsia"/>
          <w:kern w:val="0"/>
          <w:sz w:val="32"/>
        </w:rPr>
        <w:t>㹀</w:t>
      </w:r>
      <w:r>
        <w:rPr>
          <w:rFonts w:ascii="仿宋_GB2312" w:eastAsia="仿宋_GB2312" w:hAnsi="仿宋_GB2312" w:hint="eastAsia"/>
          <w:kern w:val="0"/>
          <w:sz w:val="32"/>
        </w:rPr>
        <w:t>牛川、窟野河、韩城</w:t>
      </w:r>
      <w:proofErr w:type="gramStart"/>
      <w:r>
        <w:rPr>
          <w:rFonts w:ascii="仿宋_GB2312" w:eastAsia="仿宋" w:hAnsi="仿宋" w:hint="eastAsia"/>
          <w:kern w:val="0"/>
          <w:sz w:val="32"/>
        </w:rPr>
        <w:t>澽</w:t>
      </w:r>
      <w:proofErr w:type="gramEnd"/>
      <w:r>
        <w:rPr>
          <w:rFonts w:ascii="仿宋_GB2312" w:eastAsia="仿宋_GB2312" w:hAnsi="仿宋_GB2312" w:hint="eastAsia"/>
          <w:kern w:val="0"/>
          <w:sz w:val="32"/>
        </w:rPr>
        <w:t>水河轻度污染；延安清涧河、渭南金水沟重度污染。与2016年同期相比，南洛河水质变好，</w:t>
      </w:r>
      <w:r>
        <w:rPr>
          <w:rFonts w:ascii="宋体" w:hAnsi="宋体" w:hint="eastAsia"/>
          <w:kern w:val="0"/>
          <w:sz w:val="32"/>
        </w:rPr>
        <w:t>㹀</w:t>
      </w:r>
      <w:r>
        <w:rPr>
          <w:rFonts w:ascii="仿宋_GB2312" w:eastAsia="仿宋_GB2312" w:hAnsi="仿宋_GB2312" w:hint="eastAsia"/>
          <w:kern w:val="0"/>
          <w:sz w:val="32"/>
        </w:rPr>
        <w:t>牛川、金水沟、清涧河水质变差。</w:t>
      </w:r>
    </w:p>
    <w:p w:rsidR="00DA7C51" w:rsidRDefault="002C2D5C" w:rsidP="00E353F2">
      <w:pPr>
        <w:widowControl/>
        <w:autoSpaceDN w:val="0"/>
        <w:spacing w:line="540" w:lineRule="exact"/>
        <w:ind w:firstLineChars="200" w:firstLine="640"/>
        <w:jc w:val="left"/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/>
          <w:kern w:val="0"/>
          <w:sz w:val="32"/>
        </w:rPr>
        <w:t>四、城市集中式饮用水水源地水质状况</w:t>
      </w:r>
    </w:p>
    <w:p w:rsidR="00DA7C51" w:rsidRDefault="002C2D5C" w:rsidP="00E353F2">
      <w:pPr>
        <w:widowControl/>
        <w:autoSpaceDN w:val="0"/>
        <w:spacing w:line="540" w:lineRule="exact"/>
        <w:ind w:firstLineChars="200" w:firstLine="640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/>
          <w:kern w:val="0"/>
          <w:sz w:val="32"/>
        </w:rPr>
        <w:t>上半年，28个城市集中式饮用水水源地共取水30904.915万吨，取水量同比下降657.708万吨,达标水量30400.025万吨，达标率为98.37%。西安市</w:t>
      </w:r>
      <w:proofErr w:type="gramStart"/>
      <w:r>
        <w:rPr>
          <w:rFonts w:ascii="仿宋_GB2312" w:eastAsia="仿宋_GB2312" w:hAnsi="仿宋_GB2312"/>
          <w:kern w:val="0"/>
          <w:sz w:val="32"/>
        </w:rPr>
        <w:t>沣</w:t>
      </w:r>
      <w:proofErr w:type="gramEnd"/>
      <w:r>
        <w:rPr>
          <w:rFonts w:ascii="仿宋_GB2312" w:eastAsia="仿宋_GB2312" w:hAnsi="仿宋_GB2312"/>
          <w:kern w:val="0"/>
          <w:sz w:val="32"/>
        </w:rPr>
        <w:t>渭水源地3、4月份</w:t>
      </w:r>
      <w:proofErr w:type="gramStart"/>
      <w:r>
        <w:rPr>
          <w:rFonts w:ascii="仿宋_GB2312" w:eastAsia="仿宋_GB2312" w:hAnsi="仿宋_GB2312"/>
          <w:kern w:val="0"/>
          <w:sz w:val="32"/>
        </w:rPr>
        <w:t>锰分别</w:t>
      </w:r>
      <w:proofErr w:type="gramEnd"/>
      <w:r>
        <w:rPr>
          <w:rFonts w:ascii="仿宋_GB2312" w:eastAsia="仿宋_GB2312" w:hAnsi="仿宋_GB2312"/>
          <w:kern w:val="0"/>
          <w:sz w:val="32"/>
        </w:rPr>
        <w:t>超标0.6倍、0.8倍，合计超标水量504.89万吨。</w:t>
      </w:r>
    </w:p>
    <w:p w:rsidR="00DA7C51" w:rsidRDefault="002C2D5C" w:rsidP="00E353F2">
      <w:pPr>
        <w:widowControl/>
        <w:autoSpaceDN w:val="0"/>
        <w:spacing w:line="540" w:lineRule="exact"/>
        <w:ind w:firstLineChars="200" w:firstLine="640"/>
        <w:jc w:val="left"/>
        <w:rPr>
          <w:rFonts w:hAnsi="宋体"/>
        </w:rPr>
      </w:pPr>
      <w:r>
        <w:rPr>
          <w:rFonts w:ascii="黑体" w:eastAsia="黑体" w:hAnsi="黑体"/>
          <w:sz w:val="32"/>
        </w:rPr>
        <w:lastRenderedPageBreak/>
        <w:t>五、辐射环境质量</w:t>
      </w:r>
    </w:p>
    <w:p w:rsidR="00DA7C51" w:rsidRDefault="002C2D5C" w:rsidP="00E353F2">
      <w:pPr>
        <w:autoSpaceDN w:val="0"/>
        <w:spacing w:line="54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2017年上半年我省辐射环境监测点位监测结果属正常水平，辐射环境质量状况良好。</w:t>
      </w:r>
    </w:p>
    <w:p w:rsidR="00DA7C51" w:rsidRDefault="002C2D5C" w:rsidP="00E353F2">
      <w:pPr>
        <w:autoSpaceDN w:val="0"/>
        <w:spacing w:line="540" w:lineRule="exact"/>
        <w:ind w:firstLine="640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（一）空气</w:t>
      </w:r>
    </w:p>
    <w:p w:rsidR="00DA7C51" w:rsidRDefault="002C2D5C" w:rsidP="00E353F2">
      <w:pPr>
        <w:autoSpaceDN w:val="0"/>
        <w:spacing w:line="540" w:lineRule="exact"/>
        <w:ind w:firstLine="640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1.连续γ辐射空气吸收剂量率</w:t>
      </w:r>
    </w:p>
    <w:p w:rsidR="00DA7C51" w:rsidRPr="007E7F11" w:rsidRDefault="002C2D5C" w:rsidP="00E353F2">
      <w:pPr>
        <w:autoSpaceDN w:val="0"/>
        <w:spacing w:line="540" w:lineRule="exact"/>
        <w:ind w:firstLine="640"/>
        <w:rPr>
          <w:rFonts w:hAnsi="宋体"/>
        </w:rPr>
      </w:pPr>
      <w:r>
        <w:rPr>
          <w:rFonts w:ascii="仿宋_GB2312" w:eastAsia="仿宋_GB2312" w:hAnsi="仿宋_GB2312"/>
          <w:sz w:val="32"/>
        </w:rPr>
        <w:t>2017年上半年，我省5个自动站γ辐射空气吸收剂量率监测结果为(73.9～105.0)</w:t>
      </w:r>
      <w:proofErr w:type="spellStart"/>
      <w:r>
        <w:rPr>
          <w:rFonts w:ascii="仿宋_GB2312" w:eastAsia="仿宋_GB2312" w:hAnsi="仿宋_GB2312"/>
          <w:sz w:val="32"/>
        </w:rPr>
        <w:t>nGy</w:t>
      </w:r>
      <w:proofErr w:type="spellEnd"/>
      <w:r>
        <w:rPr>
          <w:rFonts w:ascii="仿宋_GB2312" w:eastAsia="仿宋_GB2312" w:hAnsi="仿宋_GB2312"/>
          <w:sz w:val="32"/>
        </w:rPr>
        <w:t>/h，属正常水平。</w:t>
      </w:r>
    </w:p>
    <w:p w:rsidR="00DA7C51" w:rsidRDefault="002C2D5C" w:rsidP="00E353F2">
      <w:pPr>
        <w:autoSpaceDN w:val="0"/>
        <w:spacing w:line="540" w:lineRule="exact"/>
        <w:ind w:firstLineChars="196" w:firstLine="630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2.累积γ辐射空气吸收剂量率</w:t>
      </w:r>
    </w:p>
    <w:p w:rsidR="00DA7C51" w:rsidRDefault="002C2D5C" w:rsidP="00E353F2">
      <w:pPr>
        <w:autoSpaceDN w:val="0"/>
        <w:spacing w:line="540" w:lineRule="exact"/>
        <w:ind w:firstLineChars="196" w:firstLine="62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2017年上半年，我省23个陆地监测点中1个</w:t>
      </w:r>
      <w:proofErr w:type="gramStart"/>
      <w:r>
        <w:rPr>
          <w:rFonts w:ascii="仿宋_GB2312" w:eastAsia="仿宋_GB2312" w:hAnsi="仿宋_GB2312"/>
          <w:sz w:val="32"/>
        </w:rPr>
        <w:t>监测点位热释</w:t>
      </w:r>
      <w:proofErr w:type="gramEnd"/>
      <w:r>
        <w:rPr>
          <w:rFonts w:ascii="仿宋_GB2312" w:eastAsia="仿宋_GB2312" w:hAnsi="仿宋_GB2312"/>
          <w:sz w:val="32"/>
        </w:rPr>
        <w:t>光丢失未收测，无监测数据，其余22个监测点位的累积剂量测得的空气吸收剂量率监测范围为（78～139）</w:t>
      </w:r>
      <w:proofErr w:type="spellStart"/>
      <w:r>
        <w:rPr>
          <w:rFonts w:ascii="仿宋_GB2312" w:eastAsia="仿宋_GB2312" w:hAnsi="仿宋_GB2312"/>
          <w:sz w:val="32"/>
        </w:rPr>
        <w:t>nGy</w:t>
      </w:r>
      <w:proofErr w:type="spellEnd"/>
      <w:r>
        <w:rPr>
          <w:rFonts w:ascii="仿宋_GB2312" w:eastAsia="仿宋_GB2312" w:hAnsi="仿宋_GB2312"/>
          <w:sz w:val="32"/>
        </w:rPr>
        <w:t>/h，属正常水平。</w:t>
      </w:r>
    </w:p>
    <w:p w:rsidR="00DA7C51" w:rsidRDefault="002C2D5C" w:rsidP="00E353F2">
      <w:pPr>
        <w:autoSpaceDN w:val="0"/>
        <w:spacing w:line="540" w:lineRule="exact"/>
        <w:ind w:firstLineChars="196" w:firstLine="630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3.气溶胶</w:t>
      </w:r>
    </w:p>
    <w:p w:rsidR="00DA7C51" w:rsidRDefault="002C2D5C" w:rsidP="00E353F2">
      <w:pPr>
        <w:autoSpaceDN w:val="0"/>
        <w:spacing w:line="540" w:lineRule="exact"/>
        <w:ind w:firstLineChars="196" w:firstLine="62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2017年上半年，我省5个自动站气溶胶中</w:t>
      </w:r>
      <w:r>
        <w:rPr>
          <w:rFonts w:ascii="仿宋_GB2312" w:eastAsia="仿宋_GB2312" w:hAnsi="仿宋_GB2312"/>
          <w:sz w:val="32"/>
          <w:vertAlign w:val="superscript"/>
        </w:rPr>
        <w:t>131</w:t>
      </w:r>
      <w:r>
        <w:rPr>
          <w:rFonts w:ascii="仿宋_GB2312" w:eastAsia="仿宋_GB2312" w:hAnsi="仿宋_GB2312"/>
          <w:sz w:val="32"/>
        </w:rPr>
        <w:t>I、</w:t>
      </w:r>
      <w:r>
        <w:rPr>
          <w:rFonts w:ascii="仿宋_GB2312" w:eastAsia="仿宋_GB2312" w:hAnsi="仿宋_GB2312"/>
          <w:sz w:val="32"/>
          <w:vertAlign w:val="superscript"/>
        </w:rPr>
        <w:t>7</w:t>
      </w:r>
      <w:r>
        <w:rPr>
          <w:rFonts w:ascii="仿宋_GB2312" w:eastAsia="仿宋_GB2312" w:hAnsi="仿宋_GB2312"/>
          <w:sz w:val="32"/>
        </w:rPr>
        <w:t>Be、</w:t>
      </w:r>
      <w:r>
        <w:rPr>
          <w:rFonts w:ascii="仿宋_GB2312" w:eastAsia="仿宋_GB2312" w:hAnsi="仿宋_GB2312"/>
          <w:sz w:val="32"/>
          <w:vertAlign w:val="superscript"/>
        </w:rPr>
        <w:t>238</w:t>
      </w:r>
      <w:r>
        <w:rPr>
          <w:rFonts w:ascii="仿宋_GB2312" w:eastAsia="仿宋_GB2312" w:hAnsi="仿宋_GB2312"/>
          <w:sz w:val="32"/>
        </w:rPr>
        <w:t>U（</w:t>
      </w:r>
      <w:r>
        <w:rPr>
          <w:rFonts w:ascii="仿宋_GB2312" w:eastAsia="仿宋_GB2312" w:hAnsi="仿宋_GB2312"/>
          <w:sz w:val="32"/>
          <w:vertAlign w:val="superscript"/>
        </w:rPr>
        <w:t>234</w:t>
      </w:r>
      <w:r>
        <w:rPr>
          <w:rFonts w:ascii="仿宋_GB2312" w:eastAsia="仿宋_GB2312" w:hAnsi="仿宋_GB2312"/>
          <w:sz w:val="32"/>
        </w:rPr>
        <w:t>Th）、</w:t>
      </w:r>
      <w:r>
        <w:rPr>
          <w:rFonts w:ascii="仿宋_GB2312" w:eastAsia="仿宋_GB2312" w:hAnsi="仿宋_GB2312"/>
          <w:sz w:val="32"/>
          <w:vertAlign w:val="superscript"/>
        </w:rPr>
        <w:t>232</w:t>
      </w:r>
      <w:r>
        <w:rPr>
          <w:rFonts w:ascii="仿宋_GB2312" w:eastAsia="仿宋_GB2312" w:hAnsi="仿宋_GB2312"/>
          <w:sz w:val="32"/>
        </w:rPr>
        <w:t>Th、</w:t>
      </w:r>
      <w:r>
        <w:rPr>
          <w:rFonts w:ascii="仿宋_GB2312" w:eastAsia="仿宋_GB2312" w:hAnsi="仿宋_GB2312"/>
          <w:sz w:val="32"/>
          <w:vertAlign w:val="superscript"/>
        </w:rPr>
        <w:t>226</w:t>
      </w:r>
      <w:r>
        <w:rPr>
          <w:rFonts w:ascii="仿宋_GB2312" w:eastAsia="仿宋_GB2312" w:hAnsi="仿宋_GB2312"/>
          <w:sz w:val="32"/>
        </w:rPr>
        <w:t>Ra、</w:t>
      </w:r>
      <w:r>
        <w:rPr>
          <w:rFonts w:ascii="仿宋_GB2312" w:eastAsia="仿宋_GB2312" w:hAnsi="仿宋_GB2312"/>
          <w:sz w:val="32"/>
          <w:vertAlign w:val="superscript"/>
        </w:rPr>
        <w:t>228</w:t>
      </w:r>
      <w:r>
        <w:rPr>
          <w:rFonts w:ascii="仿宋_GB2312" w:eastAsia="仿宋_GB2312" w:hAnsi="仿宋_GB2312"/>
          <w:sz w:val="32"/>
        </w:rPr>
        <w:t>Ra、</w:t>
      </w:r>
      <w:r>
        <w:rPr>
          <w:rFonts w:ascii="仿宋_GB2312" w:eastAsia="仿宋_GB2312" w:hAnsi="仿宋_GB2312"/>
          <w:sz w:val="32"/>
          <w:vertAlign w:val="superscript"/>
        </w:rPr>
        <w:t>40</w:t>
      </w:r>
      <w:r>
        <w:rPr>
          <w:rFonts w:ascii="仿宋_GB2312" w:eastAsia="仿宋_GB2312" w:hAnsi="仿宋_GB2312"/>
          <w:sz w:val="32"/>
        </w:rPr>
        <w:t>K、、</w:t>
      </w:r>
      <w:r>
        <w:rPr>
          <w:rFonts w:ascii="仿宋_GB2312" w:eastAsia="仿宋_GB2312" w:hAnsi="仿宋_GB2312"/>
          <w:sz w:val="32"/>
          <w:vertAlign w:val="superscript"/>
        </w:rPr>
        <w:t>137</w:t>
      </w:r>
      <w:r>
        <w:rPr>
          <w:rFonts w:ascii="仿宋_GB2312" w:eastAsia="仿宋_GB2312" w:hAnsi="仿宋_GB2312"/>
          <w:sz w:val="32"/>
        </w:rPr>
        <w:t>Cs、</w:t>
      </w:r>
      <w:r>
        <w:rPr>
          <w:rFonts w:ascii="仿宋_GB2312" w:eastAsia="仿宋_GB2312" w:hAnsi="仿宋_GB2312"/>
          <w:sz w:val="32"/>
          <w:vertAlign w:val="superscript"/>
        </w:rPr>
        <w:t>134</w:t>
      </w:r>
      <w:r>
        <w:rPr>
          <w:rFonts w:ascii="仿宋_GB2312" w:eastAsia="仿宋_GB2312" w:hAnsi="仿宋_GB2312"/>
          <w:sz w:val="32"/>
        </w:rPr>
        <w:t>Cs、</w:t>
      </w:r>
      <w:r>
        <w:rPr>
          <w:rFonts w:ascii="仿宋_GB2312" w:eastAsia="仿宋_GB2312" w:hAnsi="仿宋_GB2312"/>
          <w:sz w:val="32"/>
          <w:vertAlign w:val="superscript"/>
        </w:rPr>
        <w:t>210</w:t>
      </w:r>
      <w:r>
        <w:rPr>
          <w:rFonts w:ascii="仿宋_GB2312" w:eastAsia="仿宋_GB2312" w:hAnsi="仿宋_GB2312"/>
          <w:sz w:val="32"/>
        </w:rPr>
        <w:t>Po、</w:t>
      </w:r>
      <w:r>
        <w:rPr>
          <w:rFonts w:ascii="仿宋_GB2312" w:eastAsia="仿宋_GB2312" w:hAnsi="仿宋_GB2312"/>
          <w:sz w:val="32"/>
          <w:vertAlign w:val="superscript"/>
        </w:rPr>
        <w:t>210</w:t>
      </w:r>
      <w:r>
        <w:rPr>
          <w:rFonts w:ascii="仿宋_GB2312" w:eastAsia="仿宋_GB2312" w:hAnsi="仿宋_GB2312"/>
          <w:sz w:val="32"/>
        </w:rPr>
        <w:t>Pb放射性核素活度浓度监测结果均属正常环境水平。</w:t>
      </w:r>
    </w:p>
    <w:p w:rsidR="00DA7C51" w:rsidRDefault="002C2D5C" w:rsidP="00E353F2">
      <w:pPr>
        <w:autoSpaceDN w:val="0"/>
        <w:spacing w:line="540" w:lineRule="exact"/>
        <w:ind w:firstLineChars="196" w:firstLine="630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4.沉降物</w:t>
      </w:r>
    </w:p>
    <w:p w:rsidR="00DA7C51" w:rsidRDefault="002C2D5C" w:rsidP="00E353F2">
      <w:pPr>
        <w:autoSpaceDN w:val="0"/>
        <w:spacing w:line="540" w:lineRule="exact"/>
        <w:ind w:firstLineChars="196" w:firstLine="62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2017年上半年，我省西安北郊污水处理厂自动站沉降物中</w:t>
      </w:r>
      <w:r>
        <w:rPr>
          <w:rFonts w:ascii="仿宋_GB2312" w:eastAsia="仿宋_GB2312" w:hAnsi="仿宋_GB2312"/>
          <w:sz w:val="32"/>
          <w:vertAlign w:val="superscript"/>
        </w:rPr>
        <w:t>131</w:t>
      </w:r>
      <w:r>
        <w:rPr>
          <w:rFonts w:ascii="仿宋_GB2312" w:eastAsia="仿宋_GB2312" w:hAnsi="仿宋_GB2312"/>
          <w:sz w:val="32"/>
        </w:rPr>
        <w:t>I、</w:t>
      </w:r>
      <w:r>
        <w:rPr>
          <w:rFonts w:ascii="仿宋_GB2312" w:eastAsia="仿宋_GB2312" w:hAnsi="仿宋_GB2312"/>
          <w:sz w:val="32"/>
          <w:vertAlign w:val="superscript"/>
        </w:rPr>
        <w:t>7</w:t>
      </w:r>
      <w:r>
        <w:rPr>
          <w:rFonts w:ascii="仿宋_GB2312" w:eastAsia="仿宋_GB2312" w:hAnsi="仿宋_GB2312"/>
          <w:sz w:val="32"/>
        </w:rPr>
        <w:t>Be、</w:t>
      </w:r>
      <w:r>
        <w:rPr>
          <w:rFonts w:ascii="仿宋_GB2312" w:eastAsia="仿宋_GB2312" w:hAnsi="仿宋_GB2312"/>
          <w:sz w:val="32"/>
          <w:vertAlign w:val="superscript"/>
        </w:rPr>
        <w:t>238</w:t>
      </w:r>
      <w:r>
        <w:rPr>
          <w:rFonts w:ascii="仿宋_GB2312" w:eastAsia="仿宋_GB2312" w:hAnsi="仿宋_GB2312"/>
          <w:sz w:val="32"/>
        </w:rPr>
        <w:t>U（</w:t>
      </w:r>
      <w:r>
        <w:rPr>
          <w:rFonts w:ascii="仿宋_GB2312" w:eastAsia="仿宋_GB2312" w:hAnsi="仿宋_GB2312"/>
          <w:sz w:val="32"/>
          <w:vertAlign w:val="superscript"/>
        </w:rPr>
        <w:t>234</w:t>
      </w:r>
      <w:r>
        <w:rPr>
          <w:rFonts w:ascii="仿宋_GB2312" w:eastAsia="仿宋_GB2312" w:hAnsi="仿宋_GB2312"/>
          <w:sz w:val="32"/>
        </w:rPr>
        <w:t>Th）、</w:t>
      </w:r>
      <w:r>
        <w:rPr>
          <w:rFonts w:ascii="仿宋_GB2312" w:eastAsia="仿宋_GB2312" w:hAnsi="仿宋_GB2312"/>
          <w:sz w:val="32"/>
          <w:vertAlign w:val="superscript"/>
        </w:rPr>
        <w:t>232</w:t>
      </w:r>
      <w:r>
        <w:rPr>
          <w:rFonts w:ascii="仿宋_GB2312" w:eastAsia="仿宋_GB2312" w:hAnsi="仿宋_GB2312"/>
          <w:sz w:val="32"/>
        </w:rPr>
        <w:t>Th、</w:t>
      </w:r>
      <w:r>
        <w:rPr>
          <w:rFonts w:ascii="仿宋_GB2312" w:eastAsia="仿宋_GB2312" w:hAnsi="仿宋_GB2312"/>
          <w:sz w:val="32"/>
          <w:vertAlign w:val="superscript"/>
        </w:rPr>
        <w:t>226</w:t>
      </w:r>
      <w:r>
        <w:rPr>
          <w:rFonts w:ascii="仿宋_GB2312" w:eastAsia="仿宋_GB2312" w:hAnsi="仿宋_GB2312"/>
          <w:sz w:val="32"/>
        </w:rPr>
        <w:t>Ra、</w:t>
      </w:r>
      <w:r>
        <w:rPr>
          <w:rFonts w:ascii="仿宋_GB2312" w:eastAsia="仿宋_GB2312" w:hAnsi="仿宋_GB2312"/>
          <w:sz w:val="32"/>
          <w:vertAlign w:val="superscript"/>
        </w:rPr>
        <w:t>228</w:t>
      </w:r>
      <w:r>
        <w:rPr>
          <w:rFonts w:ascii="仿宋_GB2312" w:eastAsia="仿宋_GB2312" w:hAnsi="仿宋_GB2312"/>
          <w:sz w:val="32"/>
        </w:rPr>
        <w:t>Ra、</w:t>
      </w:r>
      <w:r>
        <w:rPr>
          <w:rFonts w:ascii="仿宋_GB2312" w:eastAsia="仿宋_GB2312" w:hAnsi="仿宋_GB2312"/>
          <w:sz w:val="32"/>
          <w:vertAlign w:val="superscript"/>
        </w:rPr>
        <w:t>40</w:t>
      </w:r>
      <w:r>
        <w:rPr>
          <w:rFonts w:ascii="仿宋_GB2312" w:eastAsia="仿宋_GB2312" w:hAnsi="仿宋_GB2312"/>
          <w:sz w:val="32"/>
        </w:rPr>
        <w:t>K、</w:t>
      </w:r>
      <w:r>
        <w:rPr>
          <w:rFonts w:ascii="仿宋_GB2312" w:eastAsia="仿宋_GB2312" w:hAnsi="仿宋_GB2312"/>
          <w:sz w:val="32"/>
          <w:vertAlign w:val="superscript"/>
        </w:rPr>
        <w:t>、137</w:t>
      </w:r>
      <w:r>
        <w:rPr>
          <w:rFonts w:ascii="仿宋_GB2312" w:eastAsia="仿宋_GB2312" w:hAnsi="仿宋_GB2312"/>
          <w:sz w:val="32"/>
        </w:rPr>
        <w:t>Cs、</w:t>
      </w:r>
      <w:r>
        <w:rPr>
          <w:rFonts w:ascii="仿宋_GB2312" w:eastAsia="仿宋_GB2312" w:hAnsi="仿宋_GB2312"/>
          <w:sz w:val="32"/>
          <w:vertAlign w:val="superscript"/>
        </w:rPr>
        <w:t>134</w:t>
      </w:r>
      <w:r>
        <w:rPr>
          <w:rFonts w:ascii="仿宋_GB2312" w:eastAsia="仿宋_GB2312" w:hAnsi="仿宋_GB2312"/>
          <w:sz w:val="32"/>
        </w:rPr>
        <w:t>Cs放射性核素日沉降量监测结果均属正常环境水平。</w:t>
      </w:r>
    </w:p>
    <w:p w:rsidR="00DA7C51" w:rsidRDefault="002C2D5C" w:rsidP="00E353F2">
      <w:pPr>
        <w:autoSpaceDN w:val="0"/>
        <w:spacing w:line="540" w:lineRule="exact"/>
        <w:ind w:firstLineChars="196" w:firstLine="630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5.其他</w:t>
      </w:r>
    </w:p>
    <w:p w:rsidR="00DA7C51" w:rsidRDefault="002C2D5C" w:rsidP="00E353F2">
      <w:pPr>
        <w:autoSpaceDN w:val="0"/>
        <w:spacing w:line="540" w:lineRule="exact"/>
        <w:ind w:firstLineChars="196" w:firstLine="62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2017年上半年，我省西安北郊污水处理厂自动站空气中</w:t>
      </w:r>
      <w:r>
        <w:rPr>
          <w:rFonts w:ascii="仿宋_GB2312" w:eastAsia="仿宋_GB2312" w:hAnsi="仿宋_GB2312"/>
          <w:sz w:val="32"/>
          <w:vertAlign w:val="superscript"/>
        </w:rPr>
        <w:t>125</w:t>
      </w:r>
      <w:r>
        <w:rPr>
          <w:rFonts w:ascii="仿宋_GB2312" w:eastAsia="仿宋_GB2312" w:hAnsi="仿宋_GB2312"/>
          <w:sz w:val="32"/>
        </w:rPr>
        <w:t>I、</w:t>
      </w:r>
      <w:r>
        <w:rPr>
          <w:rFonts w:ascii="仿宋_GB2312" w:eastAsia="仿宋_GB2312" w:hAnsi="仿宋_GB2312"/>
          <w:sz w:val="32"/>
          <w:vertAlign w:val="superscript"/>
        </w:rPr>
        <w:t>131</w:t>
      </w:r>
      <w:r>
        <w:rPr>
          <w:rFonts w:ascii="仿宋_GB2312" w:eastAsia="仿宋_GB2312" w:hAnsi="仿宋_GB2312"/>
          <w:sz w:val="32"/>
        </w:rPr>
        <w:t>I放射性核素活度浓度监测数据均低于最低探测限，监测结果未见异常。上半年空气中氡浓度监测结果为（14～15）</w:t>
      </w:r>
      <w:proofErr w:type="spellStart"/>
      <w:r>
        <w:rPr>
          <w:rFonts w:ascii="仿宋_GB2312" w:eastAsia="仿宋_GB2312" w:hAnsi="仿宋_GB2312"/>
          <w:sz w:val="32"/>
        </w:rPr>
        <w:t>Bq</w:t>
      </w:r>
      <w:proofErr w:type="spellEnd"/>
      <w:r>
        <w:rPr>
          <w:rFonts w:ascii="仿宋_GB2312" w:eastAsia="仿宋_GB2312" w:hAnsi="仿宋_GB2312"/>
          <w:sz w:val="32"/>
        </w:rPr>
        <w:t>/m</w:t>
      </w:r>
      <w:r>
        <w:rPr>
          <w:rFonts w:ascii="仿宋_GB2312" w:eastAsia="仿宋_GB2312" w:hAnsi="仿宋_GB2312"/>
          <w:sz w:val="32"/>
          <w:vertAlign w:val="superscript"/>
        </w:rPr>
        <w:t>3</w:t>
      </w:r>
      <w:r>
        <w:rPr>
          <w:rFonts w:ascii="仿宋_GB2312" w:eastAsia="仿宋_GB2312" w:hAnsi="仿宋_GB2312"/>
          <w:sz w:val="32"/>
        </w:rPr>
        <w:t>，属正常范围。</w:t>
      </w:r>
    </w:p>
    <w:p w:rsidR="00DA7C51" w:rsidRDefault="002C2D5C" w:rsidP="00E353F2">
      <w:pPr>
        <w:autoSpaceDN w:val="0"/>
        <w:spacing w:line="540" w:lineRule="exact"/>
        <w:ind w:firstLineChars="196" w:firstLine="630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（二）水体</w:t>
      </w:r>
    </w:p>
    <w:p w:rsidR="00DA7C51" w:rsidRDefault="002C2D5C" w:rsidP="00E353F2">
      <w:pPr>
        <w:autoSpaceDN w:val="0"/>
        <w:spacing w:line="540" w:lineRule="exact"/>
        <w:ind w:firstLineChars="196" w:firstLine="627"/>
        <w:rPr>
          <w:rFonts w:hAnsi="宋体"/>
          <w:color w:val="000000"/>
        </w:rPr>
      </w:pPr>
      <w:r>
        <w:rPr>
          <w:rFonts w:ascii="仿宋_GB2312" w:eastAsia="仿宋_GB2312" w:hAnsi="仿宋_GB2312"/>
          <w:sz w:val="32"/>
        </w:rPr>
        <w:t>2017年上半年我省21个水体监测点中总α、总β、U、</w:t>
      </w:r>
      <w:proofErr w:type="spellStart"/>
      <w:r>
        <w:rPr>
          <w:rFonts w:ascii="仿宋_GB2312" w:eastAsia="仿宋_GB2312" w:hAnsi="仿宋_GB2312"/>
          <w:sz w:val="32"/>
        </w:rPr>
        <w:t>Th</w:t>
      </w:r>
      <w:proofErr w:type="spellEnd"/>
      <w:r>
        <w:rPr>
          <w:rFonts w:ascii="仿宋_GB2312" w:eastAsia="仿宋_GB2312" w:hAnsi="仿宋_GB2312"/>
          <w:sz w:val="32"/>
        </w:rPr>
        <w:t>、</w:t>
      </w:r>
      <w:r>
        <w:rPr>
          <w:rFonts w:ascii="仿宋_GB2312" w:eastAsia="仿宋_GB2312" w:hAnsi="仿宋_GB2312"/>
          <w:sz w:val="32"/>
          <w:vertAlign w:val="superscript"/>
        </w:rPr>
        <w:t>226</w:t>
      </w:r>
      <w:r>
        <w:rPr>
          <w:rFonts w:ascii="仿宋_GB2312" w:eastAsia="仿宋_GB2312" w:hAnsi="仿宋_GB2312"/>
          <w:sz w:val="32"/>
        </w:rPr>
        <w:t>Ra、</w:t>
      </w:r>
      <w:r>
        <w:rPr>
          <w:rFonts w:ascii="仿宋_GB2312" w:eastAsia="仿宋_GB2312" w:hAnsi="仿宋_GB2312"/>
          <w:sz w:val="32"/>
          <w:vertAlign w:val="superscript"/>
        </w:rPr>
        <w:lastRenderedPageBreak/>
        <w:t>90</w:t>
      </w:r>
      <w:r>
        <w:rPr>
          <w:rFonts w:ascii="仿宋_GB2312" w:eastAsia="仿宋_GB2312" w:hAnsi="仿宋_GB2312"/>
          <w:sz w:val="32"/>
        </w:rPr>
        <w:t>Sr、</w:t>
      </w:r>
      <w:r>
        <w:rPr>
          <w:rFonts w:ascii="仿宋_GB2312" w:eastAsia="仿宋_GB2312" w:hAnsi="仿宋_GB2312"/>
          <w:sz w:val="32"/>
          <w:vertAlign w:val="superscript"/>
        </w:rPr>
        <w:t>137</w:t>
      </w:r>
      <w:r>
        <w:rPr>
          <w:rFonts w:ascii="仿宋_GB2312" w:eastAsia="仿宋_GB2312" w:hAnsi="仿宋_GB2312"/>
          <w:sz w:val="32"/>
        </w:rPr>
        <w:t>Cs放射性核素活度浓度均为正常水平。</w:t>
      </w:r>
    </w:p>
    <w:p w:rsidR="00DA7C51" w:rsidRDefault="002C2D5C" w:rsidP="00E353F2">
      <w:pPr>
        <w:autoSpaceDN w:val="0"/>
        <w:spacing w:line="540" w:lineRule="exact"/>
        <w:ind w:firstLineChars="200" w:firstLine="643"/>
        <w:rPr>
          <w:rFonts w:ascii="楷体_GB2312" w:eastAsia="楷体_GB2312" w:hAnsi="楷体_GB2312"/>
          <w:b/>
          <w:sz w:val="32"/>
        </w:rPr>
      </w:pPr>
      <w:r>
        <w:rPr>
          <w:rFonts w:ascii="楷体_GB2312" w:eastAsia="楷体_GB2312" w:hAnsi="楷体_GB2312"/>
          <w:b/>
          <w:sz w:val="32"/>
        </w:rPr>
        <w:t>（三）电磁辐射环境</w:t>
      </w:r>
    </w:p>
    <w:p w:rsidR="00DA7C51" w:rsidRDefault="002C2D5C" w:rsidP="00E353F2">
      <w:pPr>
        <w:autoSpaceDN w:val="0"/>
        <w:spacing w:line="540" w:lineRule="exact"/>
        <w:ind w:firstLineChars="200" w:firstLine="643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1.环境电磁辐射</w:t>
      </w:r>
    </w:p>
    <w:p w:rsidR="00DA7C51" w:rsidRDefault="002C2D5C" w:rsidP="00E353F2">
      <w:pPr>
        <w:autoSpaceDN w:val="0"/>
        <w:spacing w:line="54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2017年上半年，我省52个电磁环境监测点</w:t>
      </w:r>
      <w:proofErr w:type="gramStart"/>
      <w:r>
        <w:rPr>
          <w:rFonts w:ascii="仿宋_GB2312" w:eastAsia="仿宋_GB2312" w:hAnsi="仿宋_GB2312"/>
          <w:sz w:val="32"/>
        </w:rPr>
        <w:t>位综合</w:t>
      </w:r>
      <w:proofErr w:type="gramEnd"/>
      <w:r>
        <w:rPr>
          <w:rFonts w:ascii="仿宋_GB2312" w:eastAsia="仿宋_GB2312" w:hAnsi="仿宋_GB2312"/>
          <w:sz w:val="32"/>
        </w:rPr>
        <w:t>场强监测结果为（0.20～8.24）V/m，远低于《电磁环境控制限值》（GB 8702-2014）中规定的公众曝露控制限值。</w:t>
      </w:r>
    </w:p>
    <w:p w:rsidR="00DA7C51" w:rsidRDefault="002C2D5C" w:rsidP="00E353F2">
      <w:pPr>
        <w:autoSpaceDN w:val="0"/>
        <w:spacing w:line="540" w:lineRule="exact"/>
        <w:ind w:firstLineChars="200" w:firstLine="643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/>
          <w:b/>
          <w:sz w:val="32"/>
        </w:rPr>
        <w:t>2.电磁辐射源</w:t>
      </w:r>
    </w:p>
    <w:p w:rsidR="00DA7C51" w:rsidRDefault="002C2D5C" w:rsidP="00E353F2">
      <w:pPr>
        <w:autoSpaceDN w:val="0"/>
        <w:spacing w:line="54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2017年上半年，我省西安市广播电视塔监测点周围综合场强监测结果为（2.05～2.18）</w:t>
      </w:r>
      <w:proofErr w:type="spellStart"/>
      <w:r>
        <w:rPr>
          <w:rFonts w:ascii="仿宋_GB2312" w:eastAsia="仿宋_GB2312" w:hAnsi="仿宋_GB2312"/>
          <w:sz w:val="32"/>
        </w:rPr>
        <w:t>μW</w:t>
      </w:r>
      <w:proofErr w:type="spellEnd"/>
      <w:r>
        <w:rPr>
          <w:rFonts w:ascii="仿宋_GB2312" w:eastAsia="仿宋_GB2312" w:hAnsi="仿宋_GB2312"/>
          <w:sz w:val="32"/>
        </w:rPr>
        <w:t>/cm</w:t>
      </w:r>
      <w:r>
        <w:rPr>
          <w:rFonts w:ascii="仿宋_GB2312" w:eastAsia="仿宋_GB2312" w:hAnsi="仿宋_GB2312"/>
          <w:sz w:val="32"/>
          <w:vertAlign w:val="superscript"/>
        </w:rPr>
        <w:t>2</w:t>
      </w:r>
      <w:r>
        <w:rPr>
          <w:rFonts w:ascii="仿宋_GB2312" w:eastAsia="仿宋_GB2312" w:hAnsi="仿宋_GB2312"/>
          <w:sz w:val="32"/>
        </w:rPr>
        <w:t>，远低于《电磁环境控制限值》（GB 8702-2014）中规定的公众曝露控制限值。</w:t>
      </w:r>
    </w:p>
    <w:p w:rsidR="00DA7C51" w:rsidRDefault="002C2D5C" w:rsidP="00E353F2">
      <w:pPr>
        <w:autoSpaceDN w:val="0"/>
        <w:spacing w:line="54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六、声环境质量状况</w:t>
      </w:r>
    </w:p>
    <w:p w:rsidR="00DA7C51" w:rsidRDefault="002C2D5C" w:rsidP="00E353F2">
      <w:pPr>
        <w:autoSpaceDN w:val="0"/>
        <w:spacing w:line="540" w:lineRule="exact"/>
        <w:ind w:firstLineChars="200" w:firstLine="640"/>
        <w:rPr>
          <w:rFonts w:hAnsi="宋体"/>
        </w:rPr>
      </w:pPr>
      <w:r>
        <w:rPr>
          <w:rFonts w:ascii="仿宋_GB2312" w:eastAsia="仿宋_GB2312" w:hAnsi="仿宋_GB2312"/>
          <w:sz w:val="32"/>
        </w:rPr>
        <w:t>2017年上半年，10个设区城市中，铜川、渭南、安康和商洛4个城市各功能区昼间和夜间等效声级均达标，其他城市各功能区昼间和夜间等效声级均有不同程度的超标，昼间声环境质量状况优于夜间。</w:t>
      </w:r>
    </w:p>
    <w:p w:rsidR="00DA7C51" w:rsidRDefault="002C2D5C" w:rsidP="00E353F2">
      <w:pPr>
        <w:autoSpaceDN w:val="0"/>
        <w:spacing w:line="540" w:lineRule="exact"/>
        <w:ind w:firstLineChars="200" w:firstLine="640"/>
        <w:rPr>
          <w:rFonts w:hAnsi="宋体"/>
        </w:rPr>
      </w:pPr>
      <w:r>
        <w:rPr>
          <w:rFonts w:ascii="仿宋_GB2312" w:eastAsia="仿宋_GB2312" w:hAnsi="仿宋_GB2312"/>
          <w:sz w:val="32"/>
        </w:rPr>
        <w:t>上半年，10个设区城市各类功能区共监测296点次，昼间、夜间各148点次。各类功能区</w:t>
      </w:r>
      <w:proofErr w:type="gramStart"/>
      <w:r>
        <w:rPr>
          <w:rFonts w:ascii="仿宋_GB2312" w:eastAsia="仿宋_GB2312" w:hAnsi="仿宋_GB2312"/>
          <w:sz w:val="32"/>
        </w:rPr>
        <w:t>昼间共</w:t>
      </w:r>
      <w:proofErr w:type="gramEnd"/>
      <w:r>
        <w:rPr>
          <w:rFonts w:ascii="仿宋_GB2312" w:eastAsia="仿宋_GB2312" w:hAnsi="仿宋_GB2312"/>
          <w:sz w:val="32"/>
        </w:rPr>
        <w:t>达标69点次，</w:t>
      </w:r>
      <w:proofErr w:type="gramStart"/>
      <w:r>
        <w:rPr>
          <w:rFonts w:ascii="仿宋_GB2312" w:eastAsia="仿宋_GB2312" w:hAnsi="仿宋_GB2312"/>
          <w:sz w:val="32"/>
        </w:rPr>
        <w:t>昼间点次达标率</w:t>
      </w:r>
      <w:proofErr w:type="gramEnd"/>
      <w:r>
        <w:rPr>
          <w:rFonts w:ascii="仿宋_GB2312" w:eastAsia="仿宋_GB2312" w:hAnsi="仿宋_GB2312"/>
          <w:sz w:val="32"/>
        </w:rPr>
        <w:t>为46.6%；夜间达标共达标51点次，</w:t>
      </w:r>
      <w:proofErr w:type="gramStart"/>
      <w:r>
        <w:rPr>
          <w:rFonts w:ascii="仿宋_GB2312" w:eastAsia="仿宋_GB2312" w:hAnsi="仿宋_GB2312"/>
          <w:sz w:val="32"/>
        </w:rPr>
        <w:t>夜间点次达标率</w:t>
      </w:r>
      <w:proofErr w:type="gramEnd"/>
      <w:r>
        <w:rPr>
          <w:rFonts w:ascii="仿宋_GB2312" w:eastAsia="仿宋_GB2312" w:hAnsi="仿宋_GB2312"/>
          <w:sz w:val="32"/>
        </w:rPr>
        <w:t>为34.5%；总体来看，城市功能区</w:t>
      </w:r>
      <w:proofErr w:type="gramStart"/>
      <w:r>
        <w:rPr>
          <w:rFonts w:ascii="仿宋_GB2312" w:eastAsia="仿宋_GB2312" w:hAnsi="仿宋_GB2312"/>
          <w:sz w:val="32"/>
        </w:rPr>
        <w:t>昼间点次达标率</w:t>
      </w:r>
      <w:proofErr w:type="gramEnd"/>
      <w:r>
        <w:rPr>
          <w:rFonts w:ascii="仿宋_GB2312" w:eastAsia="仿宋_GB2312" w:hAnsi="仿宋_GB2312"/>
          <w:sz w:val="32"/>
        </w:rPr>
        <w:t>高于夜间。</w:t>
      </w:r>
    </w:p>
    <w:p w:rsidR="00DA7C51" w:rsidRDefault="002C2D5C" w:rsidP="00E353F2">
      <w:pPr>
        <w:autoSpaceDE w:val="0"/>
        <w:autoSpaceDN w:val="0"/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以上是今天新闻发布会的全部内容，请各新闻单位据实进行宣传报道。</w:t>
      </w:r>
      <w:bookmarkStart w:id="0" w:name="_GoBack"/>
      <w:bookmarkEnd w:id="0"/>
    </w:p>
    <w:p w:rsidR="00DA7C51" w:rsidRDefault="00DA7C51">
      <w:pPr>
        <w:widowControl/>
        <w:autoSpaceDN w:val="0"/>
        <w:spacing w:line="540" w:lineRule="exact"/>
        <w:jc w:val="left"/>
        <w:rPr>
          <w:rFonts w:hAnsi="宋体"/>
          <w:sz w:val="32"/>
          <w:szCs w:val="32"/>
        </w:rPr>
      </w:pPr>
    </w:p>
    <w:p w:rsidR="007E7F11" w:rsidRDefault="007E7F11" w:rsidP="00C519AC">
      <w:pPr>
        <w:widowControl/>
        <w:autoSpaceDN w:val="0"/>
        <w:spacing w:line="54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p w:rsidR="007E7F11" w:rsidRDefault="007E7F11" w:rsidP="00C519AC">
      <w:pPr>
        <w:widowControl/>
        <w:autoSpaceDN w:val="0"/>
        <w:spacing w:line="54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p w:rsidR="007E7F11" w:rsidRDefault="007E7F11" w:rsidP="00C519AC">
      <w:pPr>
        <w:widowControl/>
        <w:autoSpaceDN w:val="0"/>
        <w:spacing w:line="54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p w:rsidR="00DA7C51" w:rsidRPr="00C519AC" w:rsidRDefault="002C2D5C" w:rsidP="00C519AC">
      <w:pPr>
        <w:widowControl/>
        <w:autoSpaceDN w:val="0"/>
        <w:spacing w:line="540" w:lineRule="exact"/>
        <w:jc w:val="left"/>
        <w:rPr>
          <w:rFonts w:hAnsi="宋体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 xml:space="preserve">★材料电子版可登陆 sxsxwb@126.com密码：sxsxwb2012下载。 </w:t>
      </w:r>
    </w:p>
    <w:sectPr w:rsidR="00DA7C51" w:rsidRPr="00C519AC" w:rsidSect="005C5CF7">
      <w:footerReference w:type="even" r:id="rId13"/>
      <w:footerReference w:type="default" r:id="rId14"/>
      <w:footerReference w:type="first" r:id="rId15"/>
      <w:pgSz w:w="11906" w:h="16838" w:code="9"/>
      <w:pgMar w:top="1304" w:right="1418" w:bottom="1191" w:left="1418" w:header="851" w:footer="73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19" w:rsidRDefault="00534819" w:rsidP="005070CE">
      <w:r>
        <w:separator/>
      </w:r>
    </w:p>
  </w:endnote>
  <w:endnote w:type="continuationSeparator" w:id="0">
    <w:p w:rsidR="00534819" w:rsidRDefault="00534819" w:rsidP="0050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”“Times New Roman”“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F4" w:rsidRPr="00EF09F4" w:rsidRDefault="00EF09F4">
    <w:pPr>
      <w:pStyle w:val="a7"/>
      <w:rPr>
        <w:rFonts w:ascii="宋体" w:hAnsi="宋体"/>
        <w:sz w:val="28"/>
        <w:szCs w:val="28"/>
      </w:rPr>
    </w:pPr>
    <w:r w:rsidRPr="00EF09F4">
      <w:rPr>
        <w:rFonts w:ascii="宋体" w:hAnsi="宋体" w:hint="eastAsia"/>
        <w:sz w:val="28"/>
        <w:szCs w:val="28"/>
      </w:rPr>
      <w:t>—</w:t>
    </w:r>
    <w:r w:rsidR="00E636E5" w:rsidRPr="00EF09F4">
      <w:rPr>
        <w:rFonts w:ascii="宋体" w:hAnsi="宋体"/>
        <w:sz w:val="28"/>
        <w:szCs w:val="28"/>
      </w:rPr>
      <w:fldChar w:fldCharType="begin"/>
    </w:r>
    <w:r w:rsidRPr="00EF09F4">
      <w:rPr>
        <w:rFonts w:ascii="宋体" w:hAnsi="宋体"/>
        <w:sz w:val="28"/>
        <w:szCs w:val="28"/>
      </w:rPr>
      <w:instrText xml:space="preserve"> PAGE   \* MERGEFORMAT </w:instrText>
    </w:r>
    <w:r w:rsidR="00E636E5" w:rsidRPr="00EF09F4">
      <w:rPr>
        <w:rFonts w:ascii="宋体" w:hAnsi="宋体"/>
        <w:sz w:val="28"/>
        <w:szCs w:val="28"/>
      </w:rPr>
      <w:fldChar w:fldCharType="separate"/>
    </w:r>
    <w:r w:rsidR="00EE6378" w:rsidRPr="00EE6378">
      <w:rPr>
        <w:rFonts w:ascii="宋体" w:hAnsi="宋体"/>
        <w:noProof/>
        <w:sz w:val="28"/>
        <w:szCs w:val="28"/>
        <w:lang w:val="zh-CN"/>
      </w:rPr>
      <w:t>2</w:t>
    </w:r>
    <w:r w:rsidR="00E636E5" w:rsidRPr="00EF09F4">
      <w:rPr>
        <w:rFonts w:ascii="宋体" w:hAnsi="宋体"/>
        <w:sz w:val="28"/>
        <w:szCs w:val="28"/>
      </w:rPr>
      <w:fldChar w:fldCharType="end"/>
    </w:r>
    <w:r w:rsidRPr="00EF09F4">
      <w:rPr>
        <w:rFonts w:ascii="宋体" w:hAnsi="宋体" w:hint="eastAsia"/>
        <w:sz w:val="28"/>
        <w:szCs w:val="28"/>
      </w:rPr>
      <w:t>—</w:t>
    </w:r>
  </w:p>
  <w:p w:rsidR="00EF09F4" w:rsidRDefault="00EF09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F4" w:rsidRPr="005C5CF7" w:rsidRDefault="005C5CF7">
    <w:pPr>
      <w:pStyle w:val="a7"/>
      <w:jc w:val="right"/>
      <w:rPr>
        <w:rFonts w:ascii="宋体" w:hAnsi="宋体"/>
        <w:sz w:val="28"/>
        <w:szCs w:val="28"/>
      </w:rPr>
    </w:pPr>
    <w:r w:rsidRPr="005C5CF7">
      <w:rPr>
        <w:rFonts w:ascii="宋体" w:hAnsi="宋体" w:hint="eastAsia"/>
        <w:sz w:val="28"/>
        <w:szCs w:val="28"/>
      </w:rPr>
      <w:t>—</w:t>
    </w:r>
    <w:r w:rsidR="00E636E5" w:rsidRPr="005C5CF7">
      <w:rPr>
        <w:rFonts w:ascii="宋体" w:hAnsi="宋体"/>
        <w:sz w:val="28"/>
        <w:szCs w:val="28"/>
      </w:rPr>
      <w:fldChar w:fldCharType="begin"/>
    </w:r>
    <w:r w:rsidR="00EF09F4" w:rsidRPr="005C5CF7">
      <w:rPr>
        <w:rFonts w:ascii="宋体" w:hAnsi="宋体"/>
        <w:sz w:val="28"/>
        <w:szCs w:val="28"/>
      </w:rPr>
      <w:instrText xml:space="preserve"> PAGE   \* MERGEFORMAT </w:instrText>
    </w:r>
    <w:r w:rsidR="00E636E5" w:rsidRPr="005C5CF7">
      <w:rPr>
        <w:rFonts w:ascii="宋体" w:hAnsi="宋体"/>
        <w:sz w:val="28"/>
        <w:szCs w:val="28"/>
      </w:rPr>
      <w:fldChar w:fldCharType="separate"/>
    </w:r>
    <w:r w:rsidR="00EE6378" w:rsidRPr="00EE6378">
      <w:rPr>
        <w:rFonts w:ascii="宋体" w:hAnsi="宋体"/>
        <w:noProof/>
        <w:sz w:val="28"/>
        <w:szCs w:val="28"/>
        <w:lang w:val="zh-CN"/>
      </w:rPr>
      <w:t>3</w:t>
    </w:r>
    <w:r w:rsidR="00E636E5" w:rsidRPr="005C5CF7">
      <w:rPr>
        <w:rFonts w:ascii="宋体" w:hAnsi="宋体"/>
        <w:sz w:val="28"/>
        <w:szCs w:val="28"/>
      </w:rPr>
      <w:fldChar w:fldCharType="end"/>
    </w:r>
    <w:r w:rsidRPr="005C5CF7">
      <w:rPr>
        <w:rFonts w:ascii="宋体" w:hAnsi="宋体" w:hint="eastAsia"/>
        <w:sz w:val="28"/>
        <w:szCs w:val="28"/>
      </w:rPr>
      <w:t>—</w:t>
    </w:r>
  </w:p>
  <w:p w:rsidR="005070CE" w:rsidRDefault="005070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F4" w:rsidRPr="00EF09F4" w:rsidRDefault="00EF09F4">
    <w:pPr>
      <w:pStyle w:val="a7"/>
      <w:jc w:val="right"/>
      <w:rPr>
        <w:rFonts w:ascii="宋体" w:hAnsi="宋体"/>
        <w:sz w:val="30"/>
        <w:szCs w:val="30"/>
      </w:rPr>
    </w:pPr>
  </w:p>
  <w:p w:rsidR="00EF09F4" w:rsidRDefault="00EF09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19" w:rsidRDefault="00534819" w:rsidP="005070CE">
      <w:r>
        <w:separator/>
      </w:r>
    </w:p>
  </w:footnote>
  <w:footnote w:type="continuationSeparator" w:id="0">
    <w:p w:rsidR="00534819" w:rsidRDefault="00534819" w:rsidP="00507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C51"/>
    <w:rsid w:val="00085F08"/>
    <w:rsid w:val="001E32CC"/>
    <w:rsid w:val="002669E6"/>
    <w:rsid w:val="00270476"/>
    <w:rsid w:val="002911D7"/>
    <w:rsid w:val="00293890"/>
    <w:rsid w:val="002C2D5C"/>
    <w:rsid w:val="002E083C"/>
    <w:rsid w:val="0038093B"/>
    <w:rsid w:val="003E753E"/>
    <w:rsid w:val="004F0285"/>
    <w:rsid w:val="005070CE"/>
    <w:rsid w:val="00534819"/>
    <w:rsid w:val="005C5CF7"/>
    <w:rsid w:val="005E19E9"/>
    <w:rsid w:val="00771F3D"/>
    <w:rsid w:val="0077208A"/>
    <w:rsid w:val="0079247D"/>
    <w:rsid w:val="007E7F11"/>
    <w:rsid w:val="0081251C"/>
    <w:rsid w:val="008336EB"/>
    <w:rsid w:val="008B141F"/>
    <w:rsid w:val="0091605E"/>
    <w:rsid w:val="00987AE2"/>
    <w:rsid w:val="00B42676"/>
    <w:rsid w:val="00B71885"/>
    <w:rsid w:val="00B772B4"/>
    <w:rsid w:val="00B8255D"/>
    <w:rsid w:val="00C519AC"/>
    <w:rsid w:val="00CB2F98"/>
    <w:rsid w:val="00D24843"/>
    <w:rsid w:val="00DA7C51"/>
    <w:rsid w:val="00E25931"/>
    <w:rsid w:val="00E353F2"/>
    <w:rsid w:val="00E636E5"/>
    <w:rsid w:val="00EE6378"/>
    <w:rsid w:val="00EF09F4"/>
    <w:rsid w:val="00FB21A3"/>
    <w:rsid w:val="00FC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Date" w:semiHidden="0" w:unhideWhenUsed="0"/>
    <w:lsdException w:name="Body Text Inden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5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DA7C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A7C51"/>
    <w:rPr>
      <w:sz w:val="32"/>
    </w:rPr>
  </w:style>
  <w:style w:type="paragraph" w:styleId="a4">
    <w:name w:val="Body Text Indent"/>
    <w:basedOn w:val="a"/>
    <w:link w:val="Char0"/>
    <w:rsid w:val="00DA7C51"/>
    <w:pPr>
      <w:ind w:firstLine="645"/>
    </w:pPr>
    <w:rPr>
      <w:rFonts w:ascii="仿宋_GB2312" w:eastAsia="仿宋_GB2312"/>
      <w:sz w:val="32"/>
    </w:rPr>
  </w:style>
  <w:style w:type="paragraph" w:styleId="a5">
    <w:name w:val="Date"/>
    <w:basedOn w:val="a"/>
    <w:next w:val="a"/>
    <w:link w:val="Char1"/>
    <w:rsid w:val="00DA7C51"/>
    <w:pPr>
      <w:widowControl/>
    </w:pPr>
    <w:rPr>
      <w:kern w:val="0"/>
      <w:sz w:val="30"/>
      <w:szCs w:val="20"/>
    </w:rPr>
  </w:style>
  <w:style w:type="paragraph" w:styleId="2">
    <w:name w:val="Body Text Indent 2"/>
    <w:basedOn w:val="a"/>
    <w:link w:val="2Char"/>
    <w:rsid w:val="00DA7C51"/>
    <w:pPr>
      <w:ind w:leftChars="350" w:left="2415" w:hangingChars="525" w:hanging="1680"/>
    </w:pPr>
    <w:rPr>
      <w:sz w:val="32"/>
    </w:rPr>
  </w:style>
  <w:style w:type="paragraph" w:styleId="a6">
    <w:name w:val="Balloon Text"/>
    <w:basedOn w:val="a"/>
    <w:link w:val="Char2"/>
    <w:rsid w:val="00DA7C51"/>
    <w:rPr>
      <w:sz w:val="18"/>
      <w:szCs w:val="18"/>
    </w:rPr>
  </w:style>
  <w:style w:type="paragraph" w:styleId="a7">
    <w:name w:val="footer"/>
    <w:basedOn w:val="a"/>
    <w:link w:val="Char3"/>
    <w:uiPriority w:val="99"/>
    <w:rsid w:val="00DA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rsid w:val="00DA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DA7C5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aa">
    <w:name w:val="page number"/>
    <w:basedOn w:val="a0"/>
    <w:rsid w:val="00DA7C51"/>
  </w:style>
  <w:style w:type="paragraph" w:customStyle="1" w:styleId="Char5">
    <w:name w:val="Char"/>
    <w:basedOn w:val="a"/>
    <w:rsid w:val="00DA7C51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customStyle="1" w:styleId="char6">
    <w:name w:val="char"/>
    <w:basedOn w:val="a"/>
    <w:rsid w:val="00DA7C51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">
    <w:name w:val="Char Char"/>
    <w:basedOn w:val="a"/>
    <w:rsid w:val="00DA7C51"/>
    <w:rPr>
      <w:rFonts w:ascii="Tahoma" w:hAnsi="Tahoma"/>
      <w:sz w:val="24"/>
      <w:szCs w:val="20"/>
    </w:rPr>
  </w:style>
  <w:style w:type="character" w:customStyle="1" w:styleId="3Char">
    <w:name w:val="标题 3 Char"/>
    <w:basedOn w:val="a0"/>
    <w:link w:val="3"/>
    <w:rsid w:val="00DA7C5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正文文本缩进 2 Char"/>
    <w:basedOn w:val="a0"/>
    <w:link w:val="2"/>
    <w:rsid w:val="00DA7C51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3"/>
    <w:rsid w:val="00DA7C51"/>
    <w:rPr>
      <w:rFonts w:ascii="Times New Roman" w:eastAsia="宋体" w:hAnsi="Times New Roman" w:cs="Times New Roman"/>
      <w:sz w:val="32"/>
      <w:szCs w:val="24"/>
    </w:rPr>
  </w:style>
  <w:style w:type="character" w:customStyle="1" w:styleId="Char3">
    <w:name w:val="页脚 Char"/>
    <w:basedOn w:val="a0"/>
    <w:link w:val="a7"/>
    <w:uiPriority w:val="99"/>
    <w:rsid w:val="00DA7C51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rsid w:val="00DA7C5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rsid w:val="00DA7C51"/>
    <w:rPr>
      <w:rFonts w:ascii="Times New Roman" w:eastAsia="宋体" w:hAnsi="Times New Roman" w:cs="Times New Roman"/>
      <w:kern w:val="0"/>
      <w:sz w:val="30"/>
      <w:szCs w:val="20"/>
    </w:rPr>
  </w:style>
  <w:style w:type="character" w:customStyle="1" w:styleId="Char0">
    <w:name w:val="正文文本缩进 Char"/>
    <w:basedOn w:val="a0"/>
    <w:link w:val="a4"/>
    <w:rsid w:val="00DA7C51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批注框文本 Char"/>
    <w:basedOn w:val="a0"/>
    <w:link w:val="a6"/>
    <w:rsid w:val="00DA7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2017上半年全省环境质量状况</dc:title>
  <dc:creator>think</dc:creator>
  <cp:lastModifiedBy>think</cp:lastModifiedBy>
  <cp:revision>24</cp:revision>
  <cp:lastPrinted>2017-07-31T07:29:00Z</cp:lastPrinted>
  <dcterms:created xsi:type="dcterms:W3CDTF">2017-07-27T02:45:00Z</dcterms:created>
  <dcterms:modified xsi:type="dcterms:W3CDTF">2017-07-31T09:26:00Z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