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陕西省建设用地土壤污染风险管控和修复名录</w:t>
      </w:r>
    </w:p>
    <w:p>
      <w:pPr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（更新至202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/>
          <w:sz w:val="32"/>
          <w:szCs w:val="32"/>
        </w:rPr>
        <w:t>年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黑体" w:eastAsia="楷体_GB2312"/>
          <w:sz w:val="32"/>
          <w:szCs w:val="32"/>
        </w:rPr>
        <w:t>月）</w:t>
      </w:r>
    </w:p>
    <w:tbl>
      <w:tblPr>
        <w:tblStyle w:val="13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451"/>
        <w:gridCol w:w="890"/>
        <w:gridCol w:w="1124"/>
        <w:gridCol w:w="1275"/>
        <w:gridCol w:w="1986"/>
        <w:gridCol w:w="891"/>
        <w:gridCol w:w="973"/>
        <w:gridCol w:w="797"/>
        <w:gridCol w:w="1067"/>
        <w:gridCol w:w="927"/>
        <w:gridCol w:w="935"/>
        <w:gridCol w:w="1002"/>
        <w:gridCol w:w="1145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93" w:hRule="atLeast"/>
        </w:trPr>
        <w:tc>
          <w:tcPr>
            <w:tcW w:w="4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序号</w:t>
            </w:r>
          </w:p>
        </w:tc>
        <w:tc>
          <w:tcPr>
            <w:tcW w:w="713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地块基本信息</w:t>
            </w:r>
          </w:p>
        </w:tc>
        <w:tc>
          <w:tcPr>
            <w:tcW w:w="47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风险管控或修复情况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纳入日期</w:t>
            </w:r>
          </w:p>
        </w:tc>
        <w:tc>
          <w:tcPr>
            <w:tcW w:w="54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84" w:hRule="atLeast"/>
        </w:trPr>
        <w:tc>
          <w:tcPr>
            <w:tcW w:w="4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地块名称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所在市（区、州、盟）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详细地址</w:t>
            </w:r>
          </w:p>
        </w:tc>
        <w:tc>
          <w:tcPr>
            <w:tcW w:w="198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四至范围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地块面积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土地使用权人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进展情况/所在阶段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风险管控或修复目标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方案编制单位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单位</w:t>
            </w:r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风险管控或修复委托人</w:t>
            </w:r>
          </w:p>
        </w:tc>
        <w:tc>
          <w:tcPr>
            <w:tcW w:w="11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西安西化氯碱化工有限责任公司</w:t>
            </w:r>
            <w:r>
              <w:rPr>
                <w:rFonts w:ascii="仿宋" w:hAnsi="仿宋" w:eastAsia="仿宋"/>
                <w:color w:val="auto"/>
                <w:szCs w:val="21"/>
              </w:rPr>
              <w:t>666生产车间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西安市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陕西省西安市雁塔区昆明路</w:t>
            </w:r>
            <w:r>
              <w:rPr>
                <w:rFonts w:ascii="仿宋" w:hAnsi="仿宋" w:eastAsia="仿宋"/>
                <w:color w:val="auto"/>
                <w:szCs w:val="21"/>
              </w:rPr>
              <w:t>356号</w:t>
            </w:r>
          </w:p>
        </w:tc>
        <w:tc>
          <w:tcPr>
            <w:tcW w:w="198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昆明路西段南侧，西安西化氯碱化工有限责任公司YT1－1－311以东，规划路以北，规划路以西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（中心经纬度为：108.85647</w:t>
            </w:r>
          </w:p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、34.25236）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79732.59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平方米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西安西化氯碱化工有限责任公司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正在实施修复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居住用地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土壤环境质量要求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中圣环境科技发展有限公司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中圣环境科技发展有限公司</w:t>
            </w:r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西安西化氯碱化工有限责任公司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2019-11-2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宁强县明洋锌业有限责任公司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陕西省汉中市宁强县代家坝镇街民村四组</w:t>
            </w:r>
          </w:p>
        </w:tc>
        <w:tc>
          <w:tcPr>
            <w:tcW w:w="198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西侧紧靠山体，南侧紧邻街民村住宅，北侧和东侧邻黑水河（中心经纬度为：</w:t>
            </w:r>
            <w:r>
              <w:rPr>
                <w:rFonts w:ascii="仿宋" w:hAnsi="仿宋" w:eastAsia="仿宋"/>
                <w:color w:val="auto"/>
                <w:szCs w:val="21"/>
              </w:rPr>
              <w:t>106.17620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、</w:t>
            </w:r>
            <w:r>
              <w:rPr>
                <w:rFonts w:ascii="仿宋" w:hAnsi="仿宋" w:eastAsia="仿宋"/>
                <w:color w:val="auto"/>
                <w:szCs w:val="21"/>
              </w:rPr>
              <w:t>33.02022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32683.00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平方米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代家坝镇人民政府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正在编制修复方案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工矿用地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土壤环境质量要求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汉中市生态环境局宁强分局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  <w:r>
              <w:rPr>
                <w:rFonts w:ascii="仿宋" w:hAnsi="仿宋" w:eastAsia="仿宋"/>
                <w:color w:val="auto"/>
                <w:szCs w:val="21"/>
              </w:rPr>
              <w:t>021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-</w:t>
            </w:r>
            <w:r>
              <w:rPr>
                <w:rFonts w:ascii="仿宋" w:hAnsi="仿宋" w:eastAsia="仿宋"/>
                <w:color w:val="auto"/>
                <w:szCs w:val="21"/>
              </w:rPr>
              <w:t>06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-</w:t>
            </w:r>
            <w:r>
              <w:rPr>
                <w:rFonts w:ascii="仿宋" w:hAnsi="仿宋" w:eastAsia="仿宋"/>
                <w:color w:val="auto"/>
                <w:szCs w:val="21"/>
              </w:rPr>
              <w:t>10</w:t>
            </w:r>
          </w:p>
        </w:tc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宁强县海神东皇矿业有限公司（宁强旭光佳宇矿业有限公司）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汉中市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陕西省汉中市</w:t>
            </w: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宁强县代家坝镇高家河村</w:t>
            </w:r>
          </w:p>
        </w:tc>
        <w:tc>
          <w:tcPr>
            <w:tcW w:w="198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南侧紧邻东皇沟河，西至住户边界，北临高家河村委会，东至耕地边界（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中心经纬度为：106.23533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、33.11638）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3668.00平方米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代家坝镇人民政府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已完成风险管控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居住用地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土壤环境质量要求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陕西汉环环境科技有限公司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陕西博晟源建设工程有限公司</w:t>
            </w:r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汉中市生态环境局宁强分局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2022-3-11</w:t>
            </w:r>
          </w:p>
        </w:tc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4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山阳县锌业有限责任公司</w:t>
            </w:r>
          </w:p>
        </w:tc>
        <w:tc>
          <w:tcPr>
            <w:tcW w:w="112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商洛市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陕西省商洛市山阳县城关镇五里桥村</w:t>
            </w:r>
          </w:p>
        </w:tc>
        <w:tc>
          <w:tcPr>
            <w:tcW w:w="1986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东北侧邻居民区，西邻山阳县秦阳建材有限公司，南邻S203省道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中心经纬度为：109.85037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、33.52409）</w:t>
            </w:r>
          </w:p>
        </w:tc>
        <w:tc>
          <w:tcPr>
            <w:tcW w:w="8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11798.7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0平方米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商洛市生态环境局山阳分局</w:t>
            </w:r>
          </w:p>
        </w:tc>
        <w:tc>
          <w:tcPr>
            <w:tcW w:w="79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编制修复方案</w:t>
            </w:r>
          </w:p>
        </w:tc>
        <w:tc>
          <w:tcPr>
            <w:tcW w:w="10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工矿用地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土壤环境质量要求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未明确</w:t>
            </w:r>
          </w:p>
        </w:tc>
        <w:tc>
          <w:tcPr>
            <w:tcW w:w="10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商洛市生态环境局山阳分局</w:t>
            </w:r>
          </w:p>
        </w:tc>
        <w:tc>
          <w:tcPr>
            <w:tcW w:w="114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2022-3-31</w:t>
            </w:r>
          </w:p>
        </w:tc>
        <w:tc>
          <w:tcPr>
            <w:tcW w:w="5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color w:val="auto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陕西省建设用地土壤污染风险管控和修复名录移出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清单</w:t>
      </w:r>
    </w:p>
    <w:p>
      <w:pPr>
        <w:jc w:val="center"/>
        <w:rPr>
          <w:rFonts w:ascii="楷体_GB2312" w:hAnsi="黑体" w:eastAsia="楷体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（更新至202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年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月）</w:t>
      </w:r>
    </w:p>
    <w:tbl>
      <w:tblPr>
        <w:tblStyle w:val="13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97"/>
        <w:gridCol w:w="920"/>
        <w:gridCol w:w="1098"/>
        <w:gridCol w:w="1139"/>
        <w:gridCol w:w="1248"/>
        <w:gridCol w:w="941"/>
        <w:gridCol w:w="1084"/>
        <w:gridCol w:w="1052"/>
        <w:gridCol w:w="973"/>
        <w:gridCol w:w="973"/>
        <w:gridCol w:w="727"/>
        <w:gridCol w:w="729"/>
        <w:gridCol w:w="1218"/>
        <w:gridCol w:w="1119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93" w:hRule="atLeast"/>
        </w:trPr>
        <w:tc>
          <w:tcPr>
            <w:tcW w:w="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序号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地块基本信息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风险管控或修复情况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移出日期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84" w:hRule="atLeast"/>
        </w:trPr>
        <w:tc>
          <w:tcPr>
            <w:tcW w:w="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地块名称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所在市（区、州、盟）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详细地址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四至范围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地块面积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土地使用权人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进展情况/所在阶段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风险管控或修复目标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方案编制单位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风险管控或修复单位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风险管控或修复委托人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风险管控或修复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效果评估单位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2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陕西秦岭铜厂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宝鸡市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陕西省宝鸡市陈仓区虢镇火车站北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东至光芒村，西至大众村，北至宝鸡峡引渭渠</w:t>
            </w:r>
            <w:r>
              <w:rPr>
                <w:rFonts w:ascii="仿宋" w:hAnsi="仿宋" w:eastAsia="仿宋"/>
                <w:color w:val="auto"/>
                <w:szCs w:val="21"/>
              </w:rPr>
              <w:t>,南至虢镇建国路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34331.47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平方米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陕西省秦岭铜厂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完成修复效果评估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满足仓储用地土壤环境质量要求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陕西长风环境工程设计有限公司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陕西五环建设工程有限公司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陕西省秦岭铜厂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杨凌锦华生态技术股份有限公司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2020-08-20</w:t>
            </w: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69"/>
    <w:rsid w:val="00006FFE"/>
    <w:rsid w:val="00021E06"/>
    <w:rsid w:val="000501DC"/>
    <w:rsid w:val="001008FB"/>
    <w:rsid w:val="00130565"/>
    <w:rsid w:val="00142E69"/>
    <w:rsid w:val="00155173"/>
    <w:rsid w:val="00187063"/>
    <w:rsid w:val="00192D6E"/>
    <w:rsid w:val="001B0B1A"/>
    <w:rsid w:val="001C6296"/>
    <w:rsid w:val="001D2F56"/>
    <w:rsid w:val="00203F9D"/>
    <w:rsid w:val="00222AB4"/>
    <w:rsid w:val="00231C53"/>
    <w:rsid w:val="002935DB"/>
    <w:rsid w:val="002B3635"/>
    <w:rsid w:val="002D6973"/>
    <w:rsid w:val="002E0E98"/>
    <w:rsid w:val="00300431"/>
    <w:rsid w:val="00323CEF"/>
    <w:rsid w:val="0036492C"/>
    <w:rsid w:val="00370E28"/>
    <w:rsid w:val="003855BC"/>
    <w:rsid w:val="0039037E"/>
    <w:rsid w:val="003E0EA5"/>
    <w:rsid w:val="003F2653"/>
    <w:rsid w:val="00404536"/>
    <w:rsid w:val="004A5BD8"/>
    <w:rsid w:val="004B0BE6"/>
    <w:rsid w:val="004D1FCB"/>
    <w:rsid w:val="00585CBB"/>
    <w:rsid w:val="00597E68"/>
    <w:rsid w:val="005A7E32"/>
    <w:rsid w:val="005B408B"/>
    <w:rsid w:val="005E0C74"/>
    <w:rsid w:val="00632B84"/>
    <w:rsid w:val="00662B32"/>
    <w:rsid w:val="00696A31"/>
    <w:rsid w:val="006B287F"/>
    <w:rsid w:val="00737003"/>
    <w:rsid w:val="00746DAF"/>
    <w:rsid w:val="00754790"/>
    <w:rsid w:val="0079599F"/>
    <w:rsid w:val="007D6160"/>
    <w:rsid w:val="008157F0"/>
    <w:rsid w:val="00856538"/>
    <w:rsid w:val="00891A1C"/>
    <w:rsid w:val="008B02AC"/>
    <w:rsid w:val="008F19CF"/>
    <w:rsid w:val="00910936"/>
    <w:rsid w:val="00912C27"/>
    <w:rsid w:val="009F621B"/>
    <w:rsid w:val="00A12164"/>
    <w:rsid w:val="00A160A4"/>
    <w:rsid w:val="00A72008"/>
    <w:rsid w:val="00A85E71"/>
    <w:rsid w:val="00AB044C"/>
    <w:rsid w:val="00B81AB7"/>
    <w:rsid w:val="00B839F8"/>
    <w:rsid w:val="00B95C4C"/>
    <w:rsid w:val="00BB219B"/>
    <w:rsid w:val="00BD689C"/>
    <w:rsid w:val="00C11CBC"/>
    <w:rsid w:val="00C15DB4"/>
    <w:rsid w:val="00C17315"/>
    <w:rsid w:val="00C319EB"/>
    <w:rsid w:val="00C61020"/>
    <w:rsid w:val="00C93720"/>
    <w:rsid w:val="00C9565D"/>
    <w:rsid w:val="00CA66BD"/>
    <w:rsid w:val="00CB7ADA"/>
    <w:rsid w:val="00CD4965"/>
    <w:rsid w:val="00D011F5"/>
    <w:rsid w:val="00D103F0"/>
    <w:rsid w:val="00D818E2"/>
    <w:rsid w:val="00DA1AB7"/>
    <w:rsid w:val="00DA621B"/>
    <w:rsid w:val="00E350D4"/>
    <w:rsid w:val="00E862CC"/>
    <w:rsid w:val="00EA3B22"/>
    <w:rsid w:val="00EC3571"/>
    <w:rsid w:val="00EE7AC1"/>
    <w:rsid w:val="00F30769"/>
    <w:rsid w:val="00F75756"/>
    <w:rsid w:val="00FA24F2"/>
    <w:rsid w:val="00FD6D78"/>
    <w:rsid w:val="028C30DC"/>
    <w:rsid w:val="093147AA"/>
    <w:rsid w:val="30CC5015"/>
    <w:rsid w:val="374B3D6E"/>
    <w:rsid w:val="699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Lines/>
      <w:ind w:firstLine="0" w:firstLineChars="0"/>
      <w:jc w:val="left"/>
      <w:outlineLvl w:val="1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HTML Cite"/>
    <w:basedOn w:val="8"/>
    <w:semiHidden/>
    <w:unhideWhenUsed/>
    <w:uiPriority w:val="99"/>
    <w:rPr>
      <w:i/>
      <w:i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uiPriority w:val="99"/>
    <w:rPr>
      <w:sz w:val="18"/>
      <w:szCs w:val="18"/>
    </w:rPr>
  </w:style>
  <w:style w:type="character" w:customStyle="1" w:styleId="16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7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font"/>
    <w:basedOn w:val="8"/>
    <w:uiPriority w:val="0"/>
  </w:style>
  <w:style w:type="character" w:customStyle="1" w:styleId="19">
    <w:name w:val="bigger"/>
    <w:basedOn w:val="8"/>
    <w:uiPriority w:val="0"/>
  </w:style>
  <w:style w:type="character" w:customStyle="1" w:styleId="20">
    <w:name w:val="medium"/>
    <w:basedOn w:val="8"/>
    <w:uiPriority w:val="0"/>
  </w:style>
  <w:style w:type="character" w:customStyle="1" w:styleId="21">
    <w:name w:val="small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137</Words>
  <Characters>781</Characters>
  <Lines>6</Lines>
  <Paragraphs>1</Paragraphs>
  <TotalTime>32</TotalTime>
  <ScaleCrop>false</ScaleCrop>
  <LinksUpToDate>false</LinksUpToDate>
  <CharactersWithSpaces>917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2019-11-08T13:00:00Z</dcterms:created>
  <dc:creator>牛晓雷</dc:creator>
  <cp:lastModifiedBy>王铁柱</cp:lastModifiedBy>
  <cp:lastPrinted>2022-06-13T09:30:00Z</cp:lastPrinted>
  <dcterms:modified xsi:type="dcterms:W3CDTF">2022-06-14T00:30:06Z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