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outlineLvl w:val="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1323" w:firstLineChars="300"/>
        <w:outlineLvl w:val="0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outlineLvl w:val="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陕西省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Hans"/>
        </w:rPr>
        <w:t>碳普惠方法学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开发意向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Hans"/>
        </w:rPr>
        <w:t>表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269"/>
        <w:gridCol w:w="214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rPr>
                <w:rFonts w:ascii="宋体" w:hAnsi="宋体" w:eastAsia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/机构名称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二、方法学开发意向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方法学名称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400" w:lineRule="exact"/>
              <w:ind w:left="0"/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方法学领域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400" w:lineRule="exact"/>
              <w:ind w:left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□能源；□工业；□建筑；□交通运输；□废物处理处置；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400" w:lineRule="exact"/>
              <w:ind w:left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□农林业；□碳捕集利用和/或封存以及其他行业；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400" w:lineRule="exact"/>
              <w:ind w:left="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□其他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参考依据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楷体_GB2312" w:hAnsi="楷体_GB2312" w:eastAsia="楷体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（请列出可参考的方法学指南或标准的全称）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6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楷体_GB2312" w:hAnsi="楷体_GB2312" w:eastAsia="楷体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三、方法学开发的必要性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（请简述开发该领域碳普惠方法学对于促进可持续发展、推动技术创新、促进公众参与等方面的意义。）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四、方法学概述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（请填写本方法学核算边界的确定方法，并列出地理边界内的温室气体排放源和排放气体种类，以及对核算范围、额外性论证、基准线情景设定、数据来源、监测方法进行概述。）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240" w:lineRule="auto"/>
              <w:ind w:left="0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五、应用案例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宋体" w:hAnsi="宋体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（如上述方法学已应用或有潜在应用案例，请提供案例的基本信息。）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六、方法学减排量估算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宋体" w:hAnsi="宋体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（评估实施该方法学对减污降碳的贡献和影响，包括温室气体减排量、污染物减排量和 资源节约量等。）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七、编制计划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spacing w:after="0" w:line="400" w:lineRule="exact"/>
              <w:ind w:left="0"/>
              <w:rPr>
                <w:rFonts w:ascii="宋体" w:hAnsi="宋体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（提出编制该方法学的具体计划，包括建议编制单位、时间表、所需资源等。）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2098" w:left="1587" w:header="851" w:footer="992" w:gutter="0"/>
      <w:cols w:space="0" w:num="1"/>
      <w:docGrid w:type="linesAndChars" w:linePitch="643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A3C57"/>
    <w:rsid w:val="602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2025-11-13T07:18:00Z</dcterms:created>
  <dc:creator>xxzx</dc:creator>
  <cp:lastModifiedBy>xxzx</cp:lastModifiedBy>
  <dcterms:modified xsi:type="dcterms:W3CDTF">2025-11-13T07:19:25Z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