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OLE_LINK2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拟纳入陕西省2025-2026秋冬季第二批重污染天气应急减排</w:t>
      </w:r>
    </w:p>
    <w:p>
      <w:pPr>
        <w:spacing w:line="58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豁免类企业清单</w:t>
      </w:r>
    </w:p>
    <w:bookmarkEnd w:id="0"/>
    <w:p>
      <w:pPr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（一）西安市豁免类企业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6326"/>
        <w:gridCol w:w="2511"/>
        <w:gridCol w:w="2844"/>
        <w:gridCol w:w="14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Header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申请依据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所属区县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陕西同力重工股份有限公司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工程机械整机制造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重点外贸企业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西咸新区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西安陕鼓动力股份有限公司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其他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重点外贸企业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临潼区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西安日立能源电力电容器有限公司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工业涂装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重点外贸企业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西咸新区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西安蓝晓科技新材料股份有限公司特种树脂工厂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其他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重点外贸企业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高陵区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高陵蓝晓科技新材料有限公司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其他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重点外贸企业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高陵区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西部超导材料科技股份有限公司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其他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重点外贸企业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经开区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西安祥森地毯配套有限公司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其他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重点外贸企业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</w:rPr>
              <w:t>灞桥区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康龙化成（西安）科技发展有限公司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其他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战略新兴企业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西咸新区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陕西嘉禾生物科技股份有限公司西安红光路分公司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其他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重点外贸企业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西咸新区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西安杨森制药有限公司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其他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战略新兴企业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西安清漪环保科技有限责任公司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其他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保障城市运转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高陵区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西安市久盛印务有限责任公司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其他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其他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微软雅黑" w:cs="Times New Roman"/>
                <w:sz w:val="22"/>
                <w:szCs w:val="22"/>
              </w:rPr>
              <w:t>鄠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西安秦鼎精铸制造股份有限公司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铸造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重点外贸企业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微软雅黑" w:cs="Times New Roman"/>
                <w:sz w:val="22"/>
                <w:szCs w:val="22"/>
              </w:rPr>
              <w:t>鄠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西安桃李食品有限公司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其他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保障民生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经开区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陕西振彰食品有限公司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其他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保障民生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经开区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西安古都放心早餐工程有限公司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其他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保障民生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经开区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百事食品（陕西）有限公司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其他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保障民生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经开区</w:t>
            </w:r>
          </w:p>
        </w:tc>
      </w:tr>
    </w:tbl>
    <w:p>
      <w:pPr>
        <w:spacing w:line="560" w:lineRule="exact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br w:type="page"/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（二）宝鸡市豁免类企业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6323"/>
        <w:gridCol w:w="2512"/>
        <w:gridCol w:w="2845"/>
        <w:gridCol w:w="14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Header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申请依据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所属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区县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宝鸡科达特种纸业有限责任公司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重点外贸企业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岐山县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陕西鼎益钛谷新材料有限公司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重点外贸企业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岐山县</w:t>
            </w:r>
          </w:p>
        </w:tc>
      </w:tr>
    </w:tbl>
    <w:p>
      <w:pPr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</w:p>
    <w:p>
      <w:pPr>
        <w:rPr>
          <w:rFonts w:ascii="Times New Roman" w:hAnsi="Times New Roman" w:eastAsia="宋体" w:cs="Times New Roman"/>
          <w:sz w:val="32"/>
          <w:lang w:bidi="ar"/>
        </w:rPr>
      </w:pPr>
      <w:r>
        <w:rPr>
          <w:rFonts w:hint="eastAsia" w:ascii="Times New Roman" w:hAnsi="Times New Roman" w:eastAsia="宋体" w:cs="Times New Roman"/>
          <w:sz w:val="32"/>
          <w:lang w:bidi="ar"/>
        </w:rPr>
        <w:br w:type="page"/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（三）汉中市保障类企业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6323"/>
        <w:gridCol w:w="2512"/>
        <w:gridCol w:w="2845"/>
        <w:gridCol w:w="14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Header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申请依据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所属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区县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</w:rPr>
              <w:t>汉中市医疗废物处理有限公司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</w:rPr>
              <w:t>其他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</w:rPr>
              <w:t>保障城市运转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</w:rPr>
              <w:t>汉台区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</w:rPr>
              <w:t>汉中市城区热力有限公司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</w:rPr>
              <w:t>其他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</w:rPr>
              <w:t>保障民生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</w:rPr>
              <w:t>南郑区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</w:rPr>
              <w:t>汉中石门固体废物处置有限公司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</w:rPr>
              <w:t>其他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</w:rPr>
              <w:t>保障城市运转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</w:rPr>
              <w:t>勉县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</w:rPr>
              <w:t>汉中勉县尧柏水泥有限公司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</w:rPr>
              <w:t>水泥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</w:rPr>
              <w:t>保障城市运转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</w:rPr>
              <w:t>勉县</w:t>
            </w:r>
          </w:p>
        </w:tc>
      </w:tr>
    </w:tbl>
    <w:p>
      <w:pPr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</w:p>
    <w:p>
      <w:pP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</w:p>
    <w:p>
      <w:pPr>
        <w:spacing w:line="560" w:lineRule="exact"/>
        <w:rPr>
          <w:rFonts w:ascii="Times New Roman" w:hAnsi="Times New Roman" w:eastAsia="宋体" w:cs="Times New Roman"/>
        </w:rPr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05188"/>
    <w:rsid w:val="3AB0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2026-01-07T04:47:00Z</dcterms:created>
  <dc:creator>xxzx</dc:creator>
  <cp:lastModifiedBy>xxzx</cp:lastModifiedBy>
  <dcterms:modified xsi:type="dcterms:W3CDTF">2026-01-07T04:48:57Z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