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000000" w:themeColor="text1"/>
          <w:sz w:val="36"/>
          <w:szCs w:val="36"/>
          <w14:textFill>
            <w14:solidFill>
              <w14:schemeClr w14:val="tx1"/>
            </w14:solidFill>
          </w14:textFill>
        </w:rPr>
      </w:pPr>
      <w:bookmarkStart w:id="0" w:name="_Hlk57883707"/>
    </w:p>
    <w:p>
      <w:pP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bookmarkEnd w:id="0"/>
    <w:p>
      <w:pPr>
        <w:adjustRightInd w:val="0"/>
        <w:snapToGrid w:val="0"/>
        <w:jc w:val="center"/>
        <w:outlineLvl w:val="0"/>
        <w:rPr>
          <w:rFonts w:hint="eastAsia" w:ascii="方正小标宋_GBK" w:eastAsia="方正小标宋_GBK"/>
          <w:bCs/>
          <w:color w:val="000000" w:themeColor="text1"/>
          <w:sz w:val="72"/>
          <w:szCs w:val="72"/>
          <w14:textFill>
            <w14:solidFill>
              <w14:schemeClr w14:val="tx1"/>
            </w14:solidFill>
          </w14:textFill>
        </w:rPr>
      </w:pPr>
      <w:r>
        <w:rPr>
          <w:rFonts w:hint="eastAsia" w:ascii="方正小标宋_GBK" w:eastAsia="方正小标宋_GBK"/>
          <w:bCs/>
          <w:color w:val="000000" w:themeColor="text1"/>
          <w:sz w:val="72"/>
          <w:szCs w:val="72"/>
          <w14:textFill>
            <w14:solidFill>
              <w14:schemeClr w14:val="tx1"/>
            </w14:solidFill>
          </w14:textFill>
        </w:rPr>
        <w:t>建设项目环境影响报告表</w:t>
      </w:r>
    </w:p>
    <w:p>
      <w:pPr>
        <w:adjustRightInd w:val="0"/>
        <w:snapToGrid w:val="0"/>
        <w:spacing w:before="192" w:beforeLines="80"/>
        <w:jc w:val="center"/>
        <w:rPr>
          <w:rFonts w:hint="eastAsia" w:ascii="楷体_GB2312" w:eastAsia="楷体_GB2312"/>
          <w:bCs/>
          <w:color w:val="000000" w:themeColor="text1"/>
          <w:sz w:val="48"/>
          <w:szCs w:val="48"/>
          <w14:textFill>
            <w14:solidFill>
              <w14:schemeClr w14:val="tx1"/>
            </w14:solidFill>
          </w14:textFill>
        </w:rPr>
      </w:pPr>
      <w:r>
        <w:rPr>
          <w:rFonts w:hint="eastAsia" w:ascii="楷体_GB2312" w:eastAsia="楷体_GB2312"/>
          <w:bCs/>
          <w:color w:val="000000" w:themeColor="text1"/>
          <w:sz w:val="48"/>
          <w:szCs w:val="48"/>
          <w14:textFill>
            <w14:solidFill>
              <w14:schemeClr w14:val="tx1"/>
            </w14:solidFill>
          </w14:textFill>
        </w:rPr>
        <w:t>（生态影响类）</w:t>
      </w:r>
    </w:p>
    <w:p>
      <w:pPr>
        <w:adjustRightInd w:val="0"/>
        <w:snapToGrid w:val="0"/>
        <w:spacing w:line="288" w:lineRule="auto"/>
        <w:jc w:val="center"/>
        <w:outlineLvl w:val="0"/>
        <w:rPr>
          <w:rFonts w:ascii="华文仿宋" w:hAnsi="华文仿宋" w:eastAsia="华文仿宋" w:cs="华文仿宋"/>
          <w:color w:val="000000" w:themeColor="text1"/>
          <w:kern w:val="44"/>
          <w:sz w:val="44"/>
          <w:szCs w:val="44"/>
          <w14:textFill>
            <w14:solidFill>
              <w14:schemeClr w14:val="tx1"/>
            </w14:solidFill>
          </w14:textFill>
        </w:rPr>
      </w:pPr>
      <w:bookmarkStart w:id="1" w:name="_Hlk57883728"/>
    </w:p>
    <w:p>
      <w:pPr>
        <w:jc w:val="center"/>
        <w:rPr>
          <w:rFonts w:eastAsia="仿宋"/>
          <w:color w:val="000000" w:themeColor="text1"/>
          <w:sz w:val="52"/>
          <w:szCs w:val="52"/>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bookmarkEnd w:id="1"/>
    <w:p>
      <w:pPr>
        <w:adjustRightInd w:val="0"/>
        <w:snapToGrid w:val="0"/>
        <w:spacing w:line="288" w:lineRule="auto"/>
        <w:ind w:firstLine="360" w:firstLineChars="100"/>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项目名称：</w:t>
      </w:r>
      <w:r>
        <w:rPr>
          <w:rFonts w:hint="default" w:ascii="Times New Roman" w:hAnsi="Times New Roman" w:eastAsia="仿宋_GB2312" w:cs="Times New Roman"/>
          <w:color w:val="000000" w:themeColor="text1"/>
          <w:sz w:val="36"/>
          <w:szCs w:val="36"/>
          <w:u w:val="single"/>
          <w14:textFill>
            <w14:solidFill>
              <w14:schemeClr w14:val="tx1"/>
            </w14:solidFill>
          </w14:textFill>
        </w:rPr>
        <w:t xml:space="preserve"> </w:t>
      </w:r>
      <w:r>
        <w:rPr>
          <w:rFonts w:hint="eastAsia" w:eastAsia="仿宋_GB2312" w:cs="Times New Roman"/>
          <w:color w:val="000000" w:themeColor="text1"/>
          <w:sz w:val="36"/>
          <w:szCs w:val="36"/>
          <w:u w:val="single"/>
          <w:lang w:val="en-US" w:eastAsia="zh-CN"/>
          <w14:textFill>
            <w14:solidFill>
              <w14:schemeClr w14:val="tx1"/>
            </w14:solidFill>
          </w14:textFill>
        </w:rPr>
        <w:t>澄城县王庄镇20兆瓦</w:t>
      </w:r>
      <w:r>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t>分散式风电项目</w:t>
      </w:r>
      <w:r>
        <w:rPr>
          <w:rFonts w:hint="default" w:ascii="Times New Roman" w:hAnsi="Times New Roman" w:eastAsia="仿宋_GB2312" w:cs="Times New Roman"/>
          <w:color w:val="000000" w:themeColor="text1"/>
          <w:sz w:val="36"/>
          <w:szCs w:val="36"/>
          <w:u w:val="single"/>
          <w14:textFill>
            <w14:solidFill>
              <w14:schemeClr w14:val="tx1"/>
            </w14:solidFill>
          </w14:textFill>
        </w:rPr>
        <w:t xml:space="preserve"> </w:t>
      </w:r>
    </w:p>
    <w:p>
      <w:pPr>
        <w:adjustRightInd w:val="0"/>
        <w:snapToGrid w:val="0"/>
        <w:spacing w:line="288" w:lineRule="auto"/>
        <w:ind w:firstLine="360" w:firstLineChars="100"/>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建设单位（盖章）：</w:t>
      </w:r>
      <w:r>
        <w:rPr>
          <w:rFonts w:hint="default" w:ascii="Times New Roman" w:hAnsi="Times New Roman" w:eastAsia="仿宋_GB2312" w:cs="Times New Roman"/>
          <w:color w:val="000000" w:themeColor="text1"/>
          <w:sz w:val="36"/>
          <w:szCs w:val="36"/>
          <w:u w:val="single"/>
          <w14:textFill>
            <w14:solidFill>
              <w14:schemeClr w14:val="tx1"/>
            </w14:solidFill>
          </w14:textFill>
        </w:rPr>
        <w:t xml:space="preserve"> </w:t>
      </w:r>
      <w:r>
        <w:rPr>
          <w:rFonts w:hint="eastAsia" w:eastAsia="仿宋_GB2312" w:cs="Times New Roman"/>
          <w:color w:val="000000" w:themeColor="text1"/>
          <w:sz w:val="36"/>
          <w:szCs w:val="36"/>
          <w:u w:val="single"/>
          <w:lang w:val="en-US" w:eastAsia="zh-CN"/>
          <w14:textFill>
            <w14:solidFill>
              <w14:schemeClr w14:val="tx1"/>
            </w14:solidFill>
          </w14:textFill>
        </w:rPr>
        <w:t xml:space="preserve">澄城县神船新能源有限公司 </w:t>
      </w:r>
    </w:p>
    <w:p>
      <w:pPr>
        <w:adjustRightInd w:val="0"/>
        <w:snapToGrid w:val="0"/>
        <w:spacing w:line="288" w:lineRule="auto"/>
        <w:ind w:firstLine="360" w:firstLineChars="100"/>
        <w:rPr>
          <w:rFonts w:hint="eastAsia" w:ascii="仿宋_GB2312" w:eastAsia="仿宋_GB2312"/>
          <w:color w:val="000000" w:themeColor="text1"/>
          <w:sz w:val="36"/>
          <w:szCs w:val="36"/>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编制日期：</w:t>
      </w:r>
      <w:r>
        <w:rPr>
          <w:rFonts w:hint="default" w:ascii="Times New Roman" w:hAnsi="Times New Roman" w:eastAsia="仿宋_GB2312" w:cs="Times New Roman"/>
          <w:color w:val="000000" w:themeColor="text1"/>
          <w:sz w:val="36"/>
          <w:szCs w:val="36"/>
          <w:u w:val="single"/>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r>
        <w:rPr>
          <w:rFonts w:hint="eastAsia" w:eastAsia="仿宋_GB2312" w:cs="Times New Roman"/>
          <w:color w:val="000000" w:themeColor="text1"/>
          <w:sz w:val="36"/>
          <w:szCs w:val="36"/>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t>2021年</w:t>
      </w:r>
      <w:r>
        <w:rPr>
          <w:rFonts w:hint="eastAsia" w:eastAsia="仿宋_GB2312" w:cs="Times New Roman"/>
          <w:color w:val="000000" w:themeColor="text1"/>
          <w:sz w:val="36"/>
          <w:szCs w:val="36"/>
          <w:u w:val="single"/>
          <w:lang w:val="en-US" w:eastAsia="zh-CN"/>
          <w14:textFill>
            <w14:solidFill>
              <w14:schemeClr w14:val="tx1"/>
            </w14:solidFill>
          </w14:textFill>
        </w:rPr>
        <w:t>6</w:t>
      </w:r>
      <w:r>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月 </w:t>
      </w:r>
      <w:r>
        <w:rPr>
          <w:rFonts w:hint="default" w:ascii="Times New Roman" w:hAnsi="Times New Roman" w:eastAsia="仿宋_GB2312" w:cs="Times New Roman"/>
          <w:color w:val="000000" w:themeColor="text1"/>
          <w:sz w:val="36"/>
          <w:szCs w:val="36"/>
          <w:u w:val="single"/>
          <w14:textFill>
            <w14:solidFill>
              <w14:schemeClr w14:val="tx1"/>
            </w14:solidFill>
          </w14:textFill>
        </w:rPr>
        <w:t xml:space="preserve">  </w:t>
      </w:r>
      <w:r>
        <w:rPr>
          <w:rFonts w:ascii="仿宋_GB2312"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ind w:firstLine="1040"/>
        <w:rPr>
          <w:rFonts w:ascii="仿宋_GB2312" w:eastAsia="仿宋_GB2312"/>
          <w:color w:val="000000" w:themeColor="text1"/>
          <w:sz w:val="36"/>
          <w:szCs w:val="36"/>
          <w:u w:val="single"/>
          <w14:textFill>
            <w14:solidFill>
              <w14:schemeClr w14:val="tx1"/>
            </w14:solidFill>
          </w14:textFill>
        </w:rPr>
      </w:pPr>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ind w:firstLine="1040"/>
        <w:rPr>
          <w:rFonts w:hint="eastAsia" w:ascii="仿宋_GB2312" w:eastAsia="仿宋_GB2312"/>
          <w:color w:val="000000" w:themeColor="text1"/>
          <w:sz w:val="36"/>
          <w:szCs w:val="36"/>
          <w14:textFill>
            <w14:solidFill>
              <w14:schemeClr w14:val="tx1"/>
            </w14:solidFill>
          </w14:textFill>
        </w:rPr>
      </w:pPr>
    </w:p>
    <w:p>
      <w:pPr>
        <w:adjustRightInd w:val="0"/>
        <w:snapToGrid w:val="0"/>
        <w:spacing w:line="288" w:lineRule="auto"/>
        <w:ind w:firstLine="1040"/>
        <w:rPr>
          <w:rFonts w:hint="eastAsia" w:ascii="仿宋_GB2312" w:eastAsia="仿宋_GB2312"/>
          <w:color w:val="000000" w:themeColor="text1"/>
          <w:sz w:val="36"/>
          <w:szCs w:val="36"/>
          <w14:textFill>
            <w14:solidFill>
              <w14:schemeClr w14:val="tx1"/>
            </w14:solidFill>
          </w14:textFill>
        </w:rPr>
      </w:pPr>
    </w:p>
    <w:p>
      <w:pPr>
        <w:adjustRightInd w:val="0"/>
        <w:snapToGrid w:val="0"/>
        <w:spacing w:line="288" w:lineRule="auto"/>
        <w:jc w:val="center"/>
        <w:rPr>
          <w:rFonts w:ascii="楷体_GB2312" w:eastAsia="楷体_GB2312"/>
          <w:color w:val="000000" w:themeColor="text1"/>
          <w:sz w:val="36"/>
          <w:szCs w:val="36"/>
          <w14:textFill>
            <w14:solidFill>
              <w14:schemeClr w14:val="tx1"/>
            </w14:solidFill>
          </w14:textFill>
        </w:rPr>
      </w:pPr>
      <w:r>
        <w:rPr>
          <w:rFonts w:hint="eastAsia" w:ascii="楷体_GB2312" w:eastAsia="楷体_GB2312"/>
          <w:color w:val="000000" w:themeColor="text1"/>
          <w:sz w:val="36"/>
          <w:szCs w:val="36"/>
          <w14:textFill>
            <w14:solidFill>
              <w14:schemeClr w14:val="tx1"/>
            </w14:solidFill>
          </w14:textFill>
        </w:rPr>
        <w:t>中华人民共和国生态环境部制</w:t>
      </w:r>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21"/>
          <w:cols w:space="720" w:num="1"/>
          <w:docGrid w:linePitch="312" w:charSpace="0"/>
        </w:sectPr>
      </w:pPr>
    </w:p>
    <w:p>
      <w:pPr>
        <w:pStyle w:val="15"/>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一、建设项目基本情况</w:t>
      </w:r>
    </w:p>
    <w:tbl>
      <w:tblPr>
        <w:tblStyle w:val="18"/>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226"/>
        <w:gridCol w:w="2043"/>
        <w:gridCol w:w="2218"/>
        <w:gridCol w:w="10"/>
        <w:gridCol w:w="25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22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建设项目名称</w:t>
            </w:r>
          </w:p>
        </w:tc>
        <w:tc>
          <w:tcPr>
            <w:tcW w:w="6813" w:type="dxa"/>
            <w:gridSpan w:val="4"/>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澄城县王庄镇20兆瓦分散式风电项目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22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项目代码</w:t>
            </w:r>
          </w:p>
        </w:tc>
        <w:tc>
          <w:tcPr>
            <w:tcW w:w="6813" w:type="dxa"/>
            <w:gridSpan w:val="4"/>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2019-610</w:t>
            </w:r>
            <w:r>
              <w:rPr>
                <w:rFonts w:hint="eastAsia" w:cs="Times New Roman"/>
                <w:color w:val="000000" w:themeColor="text1"/>
                <w:sz w:val="24"/>
                <w:szCs w:val="24"/>
                <w:lang w:val="en-US" w:eastAsia="zh-CN"/>
                <w14:textFill>
                  <w14:solidFill>
                    <w14:schemeClr w14:val="tx1"/>
                  </w14:solidFill>
                </w14:textFill>
              </w:rPr>
              <w:t>525-44-02-077611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22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建设单位联系人</w:t>
            </w:r>
          </w:p>
        </w:tc>
        <w:tc>
          <w:tcPr>
            <w:tcW w:w="2043" w:type="dxa"/>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高庆军</w:t>
            </w:r>
          </w:p>
        </w:tc>
        <w:tc>
          <w:tcPr>
            <w:tcW w:w="2228" w:type="dxa"/>
            <w:gridSpan w:val="2"/>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联系方式</w:t>
            </w:r>
          </w:p>
        </w:tc>
        <w:tc>
          <w:tcPr>
            <w:tcW w:w="2542" w:type="dxa"/>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15001392152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22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建设地点</w:t>
            </w:r>
          </w:p>
        </w:tc>
        <w:tc>
          <w:tcPr>
            <w:tcW w:w="6813" w:type="dxa"/>
            <w:gridSpan w:val="4"/>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陕西省</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省（自治区）</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渭南市</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市</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eastAsia" w:cs="Times New Roman"/>
                <w:color w:val="000000" w:themeColor="text1"/>
                <w:sz w:val="24"/>
                <w:szCs w:val="24"/>
                <w:u w:val="single"/>
                <w:lang w:val="en-US" w:eastAsia="zh-CN"/>
                <w14:textFill>
                  <w14:solidFill>
                    <w14:schemeClr w14:val="tx1"/>
                  </w14:solidFill>
                </w14:textFill>
              </w:rPr>
              <w:t>澄城</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县（区）</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eastAsia" w:cs="Times New Roman"/>
                <w:color w:val="000000" w:themeColor="text1"/>
                <w:sz w:val="24"/>
                <w:szCs w:val="24"/>
                <w:u w:val="single"/>
                <w:lang w:val="en-US" w:eastAsia="zh-CN"/>
                <w14:textFill>
                  <w14:solidFill>
                    <w14:schemeClr w14:val="tx1"/>
                  </w14:solidFill>
                </w14:textFill>
              </w:rPr>
              <w:t>王庄镇</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乡（街道）</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（具体地址）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22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地理坐标</w:t>
            </w:r>
          </w:p>
        </w:tc>
        <w:tc>
          <w:tcPr>
            <w:tcW w:w="6813" w:type="dxa"/>
            <w:gridSpan w:val="4"/>
            <w:noWrap w:val="0"/>
            <w:vAlign w:val="center"/>
          </w:tcPr>
          <w:p>
            <w:pPr>
              <w:keepNext w:val="0"/>
              <w:keepLines w:val="0"/>
              <w:widowControl/>
              <w:suppressLineNumbers w:val="0"/>
              <w:ind w:firstLine="1200" w:firstLineChars="500"/>
              <w:jc w:val="left"/>
              <w:rPr>
                <w:rFonts w:hint="default" w:ascii="Times New Roman" w:hAnsi="Times New Roman" w:cs="Times New Roman"/>
                <w:color w:val="000000" w:themeColor="text1"/>
                <w:sz w:val="24"/>
                <w:szCs w:val="24"/>
                <w:u w:val="none"/>
                <w:lang w:val="en-US" w:eastAsia="zh-CN"/>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w:t>
            </w:r>
            <w:r>
              <w:rPr>
                <w:rFonts w:hint="default" w:ascii="Times New Roman" w:hAnsi="Times New Roman" w:cs="Times New Roman"/>
                <w:color w:val="000000" w:themeColor="text1"/>
                <w:sz w:val="24"/>
                <w:szCs w:val="24"/>
                <w:u w:val="none"/>
                <w:lang w:val="en-US" w:eastAsia="zh-CN"/>
                <w14:textFill>
                  <w14:solidFill>
                    <w14:schemeClr w14:val="tx1"/>
                  </w14:solidFill>
                </w14:textFill>
              </w:rPr>
              <w:t>坐标介于</w:t>
            </w:r>
            <w:r>
              <w:rPr>
                <w:rFonts w:hint="eastAsia" w:ascii="Times New Roman" w:hAnsi="Times New Roman" w:cs="Times New Roman"/>
                <w:color w:val="000000" w:themeColor="text1"/>
                <w:sz w:val="24"/>
                <w:szCs w:val="24"/>
                <w:u w:val="none"/>
                <w:lang w:val="en-US" w:eastAsia="zh-CN"/>
                <w14:textFill>
                  <w14:solidFill>
                    <w14:schemeClr w14:val="tx1"/>
                  </w14:solidFill>
                </w14:textFill>
              </w:rPr>
              <w:t>东经</w:t>
            </w:r>
            <w:r>
              <w:rPr>
                <w:rFonts w:hint="default" w:ascii="Times New Roman" w:hAnsi="Times New Roman" w:eastAsia="TimesNewRomanPSMT" w:cs="Times New Roman"/>
                <w:color w:val="000000" w:themeColor="text1"/>
                <w:kern w:val="0"/>
                <w:sz w:val="24"/>
                <w:szCs w:val="24"/>
                <w:lang w:val="en-US" w:eastAsia="zh-CN" w:bidi="ar"/>
                <w14:textFill>
                  <w14:solidFill>
                    <w14:schemeClr w14:val="tx1"/>
                  </w14:solidFill>
                </w14:textFill>
              </w:rPr>
              <w:t>109°48'36"E</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TimesNewRomanPSMT" w:cs="Times New Roman"/>
                <w:color w:val="000000" w:themeColor="text1"/>
                <w:kern w:val="0"/>
                <w:sz w:val="24"/>
                <w:szCs w:val="24"/>
                <w:lang w:val="en-US" w:eastAsia="zh-CN" w:bidi="ar"/>
                <w14:textFill>
                  <w14:solidFill>
                    <w14:schemeClr w14:val="tx1"/>
                  </w14:solidFill>
                </w14:textFill>
              </w:rPr>
              <w:t>109°54'5"E</w:t>
            </w:r>
            <w:r>
              <w:rPr>
                <w:rFonts w:hint="default" w:ascii="Times New Roman" w:hAnsi="Times New Roman" w:cs="Times New Roman"/>
                <w:color w:val="000000" w:themeColor="text1"/>
                <w:sz w:val="24"/>
                <w:szCs w:val="24"/>
                <w:u w:val="none"/>
                <w:lang w:val="en-US" w:eastAsia="zh-CN"/>
                <w14:textFill>
                  <w14:solidFill>
                    <w14:schemeClr w14:val="tx1"/>
                  </w14:solidFill>
                </w14:textFill>
              </w:rPr>
              <w:t>，</w:t>
            </w:r>
          </w:p>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u w:val="none"/>
                <w:lang w:val="en-US" w:eastAsia="zh-CN"/>
                <w14:textFill>
                  <w14:solidFill>
                    <w14:schemeClr w14:val="tx1"/>
                  </w14:solidFill>
                </w14:textFill>
              </w:rPr>
              <w:t>北纬</w:t>
            </w:r>
            <w:r>
              <w:rPr>
                <w:rFonts w:hint="default" w:ascii="Times New Roman" w:hAnsi="Times New Roman" w:cs="Times New Roman"/>
                <w:color w:val="000000" w:themeColor="text1"/>
                <w:sz w:val="24"/>
                <w:szCs w:val="24"/>
                <w:u w:val="none"/>
                <w:lang w:val="en-US" w:eastAsia="zh-CN"/>
                <w14:textFill>
                  <w14:solidFill>
                    <w14:schemeClr w14:val="tx1"/>
                  </w14:solidFill>
                </w14:textFill>
              </w:rPr>
              <w:t>35°13'48"N～35°57'5"N之间</w:t>
            </w:r>
            <w:r>
              <w:rPr>
                <w:rFonts w:hint="default" w:ascii="Times New Roman" w:hAnsi="Times New Roman" w:cs="Times New Roman"/>
                <w:color w:val="000000" w:themeColor="text1"/>
                <w:sz w:val="24"/>
                <w:szCs w:val="24"/>
                <w:u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222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建设项目</w:t>
            </w:r>
          </w:p>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行业类别</w:t>
            </w:r>
          </w:p>
        </w:tc>
        <w:tc>
          <w:tcPr>
            <w:tcW w:w="2043" w:type="dxa"/>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D4415 风力发电</w:t>
            </w:r>
          </w:p>
        </w:tc>
        <w:tc>
          <w:tcPr>
            <w:tcW w:w="2218" w:type="dxa"/>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用地（用海）面积（m</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）/长度（km）</w:t>
            </w:r>
          </w:p>
        </w:tc>
        <w:tc>
          <w:tcPr>
            <w:tcW w:w="2552" w:type="dxa"/>
            <w:gridSpan w:val="2"/>
            <w:noWrap w:val="0"/>
            <w:vAlign w:val="center"/>
          </w:tcPr>
          <w:p>
            <w:pPr>
              <w:adjustRightInd w:val="0"/>
              <w:snapToGrid w:val="0"/>
              <w:jc w:val="center"/>
              <w:rPr>
                <w:rFonts w:hint="default"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永久占地：7228m</w:t>
            </w:r>
            <w:r>
              <w:rPr>
                <w:rFonts w:hint="eastAsia" w:cs="Times New Roman"/>
                <w:color w:val="000000" w:themeColor="text1"/>
                <w:sz w:val="24"/>
                <w:szCs w:val="24"/>
                <w:vertAlign w:val="superscript"/>
                <w:lang w:val="en-US" w:eastAsia="zh-CN"/>
                <w14:textFill>
                  <w14:solidFill>
                    <w14:schemeClr w14:val="tx1"/>
                  </w14:solidFill>
                </w14:textFill>
              </w:rPr>
              <w:t>2</w:t>
            </w:r>
          </w:p>
          <w:p>
            <w:pPr>
              <w:adjustRightInd w:val="0"/>
              <w:snapToGrid w:val="0"/>
              <w:jc w:val="center"/>
              <w:rPr>
                <w:rFonts w:hint="default"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临时占地：32025m</w:t>
            </w:r>
            <w:r>
              <w:rPr>
                <w:rFonts w:hint="eastAsia" w:cs="Times New Roman"/>
                <w:color w:val="000000" w:themeColor="text1"/>
                <w:sz w:val="24"/>
                <w:szCs w:val="24"/>
                <w:vertAlign w:val="superscript"/>
                <w:lang w:val="en-US" w:eastAsia="zh-CN"/>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222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建设性质</w:t>
            </w:r>
          </w:p>
        </w:tc>
        <w:tc>
          <w:tcPr>
            <w:tcW w:w="2043" w:type="dxa"/>
            <w:noWrap w:val="0"/>
            <w:vAlign w:val="center"/>
          </w:tcPr>
          <w:p>
            <w:pPr>
              <w:adjustRightInd w:val="0"/>
              <w:snapToGrid w:val="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52"/>
            </w:r>
            <w:r>
              <w:rPr>
                <w:rFonts w:hint="default" w:ascii="Times New Roman" w:hAnsi="Times New Roman" w:cs="Times New Roman"/>
                <w:color w:val="000000" w:themeColor="text1"/>
                <w:sz w:val="24"/>
                <w:szCs w:val="24"/>
                <w14:textFill>
                  <w14:solidFill>
                    <w14:schemeClr w14:val="tx1"/>
                  </w14:solidFill>
                </w14:textFill>
              </w:rPr>
              <w:t>新建（迁建）</w:t>
            </w:r>
          </w:p>
          <w:p>
            <w:pPr>
              <w:adjustRightInd w:val="0"/>
              <w:snapToGrid w:val="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改建</w:t>
            </w:r>
          </w:p>
          <w:p>
            <w:pPr>
              <w:adjustRightInd w:val="0"/>
              <w:snapToGrid w:val="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扩建</w:t>
            </w:r>
          </w:p>
          <w:p>
            <w:pPr>
              <w:adjustRightInd w:val="0"/>
              <w:snapToGrid w:val="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技术改造</w:t>
            </w:r>
          </w:p>
        </w:tc>
        <w:tc>
          <w:tcPr>
            <w:tcW w:w="2218" w:type="dxa"/>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建设项目</w:t>
            </w:r>
          </w:p>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申报情形</w:t>
            </w:r>
          </w:p>
        </w:tc>
        <w:tc>
          <w:tcPr>
            <w:tcW w:w="2552" w:type="dxa"/>
            <w:gridSpan w:val="2"/>
            <w:noWrap w:val="0"/>
            <w:vAlign w:val="center"/>
          </w:tcPr>
          <w:p>
            <w:pPr>
              <w:adjustRightInd w:val="0"/>
              <w:snapToGrid w:val="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52"/>
            </w:r>
            <w:r>
              <w:rPr>
                <w:rFonts w:hint="default" w:ascii="Times New Roman" w:hAnsi="Times New Roman" w:cs="Times New Roman"/>
                <w:color w:val="000000" w:themeColor="text1"/>
                <w:sz w:val="24"/>
                <w:szCs w:val="24"/>
                <w14:textFill>
                  <w14:solidFill>
                    <w14:schemeClr w14:val="tx1"/>
                  </w14:solidFill>
                </w14:textFill>
              </w:rPr>
              <w:t>首次申报项目</w:t>
            </w:r>
          </w:p>
          <w:p>
            <w:pPr>
              <w:adjustRightInd w:val="0"/>
              <w:snapToGrid w:val="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不予批准后再次申报项目</w:t>
            </w:r>
          </w:p>
          <w:p>
            <w:pPr>
              <w:adjustRightInd w:val="0"/>
              <w:snapToGrid w:val="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超五年重新审核项目</w:t>
            </w:r>
          </w:p>
          <w:p>
            <w:pPr>
              <w:adjustRightInd w:val="0"/>
              <w:snapToGrid w:val="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222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项目审批（核准/</w:t>
            </w:r>
          </w:p>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备案）部门（选填）</w:t>
            </w:r>
          </w:p>
        </w:tc>
        <w:tc>
          <w:tcPr>
            <w:tcW w:w="2043" w:type="dxa"/>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渭南市行政审批服务局</w:t>
            </w:r>
          </w:p>
        </w:tc>
        <w:tc>
          <w:tcPr>
            <w:tcW w:w="2218" w:type="dxa"/>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项目审批（核准/</w:t>
            </w:r>
          </w:p>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备案）文号（选填）</w:t>
            </w:r>
          </w:p>
        </w:tc>
        <w:tc>
          <w:tcPr>
            <w:tcW w:w="2552" w:type="dxa"/>
            <w:gridSpan w:val="2"/>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渭行审发[2019]83号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22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总投资（万元）</w:t>
            </w:r>
          </w:p>
        </w:tc>
        <w:tc>
          <w:tcPr>
            <w:tcW w:w="2043" w:type="dxa"/>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16000</w:t>
            </w:r>
          </w:p>
        </w:tc>
        <w:tc>
          <w:tcPr>
            <w:tcW w:w="221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环保投资（万元）</w:t>
            </w:r>
          </w:p>
        </w:tc>
        <w:tc>
          <w:tcPr>
            <w:tcW w:w="2552" w:type="dxa"/>
            <w:gridSpan w:val="2"/>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320.5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222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环保投资占比（%）</w:t>
            </w:r>
          </w:p>
        </w:tc>
        <w:tc>
          <w:tcPr>
            <w:tcW w:w="2043" w:type="dxa"/>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2.0%</w:t>
            </w:r>
          </w:p>
        </w:tc>
        <w:tc>
          <w:tcPr>
            <w:tcW w:w="221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施工工期</w:t>
            </w:r>
          </w:p>
        </w:tc>
        <w:tc>
          <w:tcPr>
            <w:tcW w:w="2552" w:type="dxa"/>
            <w:gridSpan w:val="2"/>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6个月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226"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是否开工建设</w:t>
            </w:r>
          </w:p>
        </w:tc>
        <w:tc>
          <w:tcPr>
            <w:tcW w:w="6813" w:type="dxa"/>
            <w:gridSpan w:val="4"/>
            <w:noWrap w:val="0"/>
            <w:vAlign w:val="center"/>
          </w:tcPr>
          <w:p>
            <w:pPr>
              <w:adjustRightInd w:val="0"/>
              <w:snapToGrid w:val="0"/>
              <w:ind w:firstLine="105"/>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52"/>
            </w:r>
            <w:r>
              <w:rPr>
                <w:rFonts w:hint="default" w:ascii="Times New Roman" w:hAnsi="Times New Roman" w:cs="Times New Roman"/>
                <w:color w:val="000000" w:themeColor="text1"/>
                <w:sz w:val="24"/>
                <w:szCs w:val="24"/>
                <w14:textFill>
                  <w14:solidFill>
                    <w14:schemeClr w14:val="tx1"/>
                  </w14:solidFill>
                </w14:textFill>
              </w:rPr>
              <w:t>否</w:t>
            </w:r>
          </w:p>
          <w:p>
            <w:pPr>
              <w:adjustRightInd w:val="0"/>
              <w:snapToGrid w:val="0"/>
              <w:ind w:firstLine="92"/>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ym w:font="Wingdings 2" w:char="00A3"/>
            </w:r>
            <w:r>
              <w:rPr>
                <w:rFonts w:hint="default" w:ascii="Times New Roman" w:hAnsi="Times New Roman" w:cs="Times New Roman"/>
                <w:color w:val="000000" w:themeColor="text1"/>
                <w:sz w:val="24"/>
                <w:szCs w:val="24"/>
                <w14:textFill>
                  <w14:solidFill>
                    <w14:schemeClr w14:val="tx1"/>
                  </w14:solidFill>
                </w14:textFill>
              </w:rPr>
              <w:t>是：</w:t>
            </w:r>
            <w:r>
              <w:rPr>
                <w:rFonts w:hint="default" w:ascii="Times New Roman" w:hAnsi="Times New Roman" w:cs="Times New Roman"/>
                <w:color w:val="000000" w:themeColor="text1"/>
                <w:sz w:val="24"/>
                <w:szCs w:val="24"/>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专项评价设置情况</w:t>
            </w:r>
          </w:p>
        </w:tc>
        <w:tc>
          <w:tcPr>
            <w:tcW w:w="6813" w:type="dxa"/>
            <w:gridSpan w:val="4"/>
            <w:noWrap w:val="0"/>
            <w:tcMar>
              <w:top w:w="16" w:type="dxa"/>
              <w:left w:w="16" w:type="dxa"/>
              <w:right w:w="16" w:type="dxa"/>
            </w:tcMar>
            <w:vAlign w:val="center"/>
          </w:tcPr>
          <w:p>
            <w:pPr>
              <w:autoSpaceDE w:val="0"/>
              <w:autoSpaceDN w:val="0"/>
              <w:adjustRightInd w:val="0"/>
              <w:snapToGrid w:val="0"/>
              <w:rPr>
                <w:rFonts w:hint="eastAsia" w:cs="Times New Roman"/>
                <w:color w:val="000000" w:themeColor="text1"/>
                <w:kern w:val="0"/>
                <w:sz w:val="24"/>
                <w:szCs w:val="24"/>
                <w:lang w:val="en-US" w:eastAsia="zh-CN"/>
                <w14:textFill>
                  <w14:solidFill>
                    <w14:schemeClr w14:val="tx1"/>
                  </w14:solidFill>
                </w14:textFill>
              </w:rPr>
            </w:pPr>
            <w:r>
              <w:rPr>
                <w:rFonts w:hint="eastAsia" w:cs="Times New Roman"/>
                <w:color w:val="000000" w:themeColor="text1"/>
                <w:kern w:val="0"/>
                <w:sz w:val="24"/>
                <w:szCs w:val="24"/>
                <w:lang w:val="en-US" w:eastAsia="zh-CN"/>
                <w14:textFill>
                  <w14:solidFill>
                    <w14:schemeClr w14:val="tx1"/>
                  </w14:solidFill>
                </w14:textFill>
              </w:rPr>
              <w:t>设置生态环境影响评价专题</w:t>
            </w:r>
          </w:p>
          <w:p>
            <w:pPr>
              <w:autoSpaceDE w:val="0"/>
              <w:autoSpaceDN w:val="0"/>
              <w:adjustRightInd w:val="0"/>
              <w:snapToGrid w:val="0"/>
              <w:rPr>
                <w:rFonts w:hint="default" w:cs="Times New Roman"/>
                <w:color w:val="000000" w:themeColor="text1"/>
                <w:kern w:val="0"/>
                <w:sz w:val="24"/>
                <w:szCs w:val="24"/>
                <w:lang w:val="en-US" w:eastAsia="zh-CN"/>
                <w14:textFill>
                  <w14:solidFill>
                    <w14:schemeClr w14:val="tx1"/>
                  </w14:solidFill>
                </w14:textFill>
              </w:rPr>
            </w:pPr>
            <w:r>
              <w:rPr>
                <w:rFonts w:hint="eastAsia" w:cs="Times New Roman"/>
                <w:color w:val="000000" w:themeColor="text1"/>
                <w:kern w:val="0"/>
                <w:sz w:val="24"/>
                <w:szCs w:val="24"/>
                <w:lang w:val="en-US" w:eastAsia="zh-CN"/>
                <w14:textFill>
                  <w14:solidFill>
                    <w14:schemeClr w14:val="tx1"/>
                  </w14:solidFill>
                </w14:textFill>
              </w:rPr>
              <w:t>设置理由：根据《建设项目环境影响报告表编制技术指南（生态影响类）（试行）》中表1专项评价设置原则，本项目风电场施工和进场道路的临时用地占用基本农田，涉及环境敏感区，所以需设置生态环境影响评价专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规划情况</w:t>
            </w:r>
          </w:p>
        </w:tc>
        <w:tc>
          <w:tcPr>
            <w:tcW w:w="6813" w:type="dxa"/>
            <w:gridSpan w:val="4"/>
            <w:noWrap w:val="0"/>
            <w:tcMar>
              <w:top w:w="16" w:type="dxa"/>
              <w:left w:w="16" w:type="dxa"/>
              <w:right w:w="16" w:type="dxa"/>
            </w:tcMar>
            <w:vAlign w:val="center"/>
          </w:tcPr>
          <w:p>
            <w:pPr>
              <w:autoSpaceDE w:val="0"/>
              <w:autoSpaceDN w:val="0"/>
              <w:adjustRightInd w:val="0"/>
              <w:snapToGrid w:val="0"/>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cs="Times New Roman"/>
                <w:color w:val="000000" w:themeColor="text1"/>
                <w:kern w:val="0"/>
                <w:sz w:val="24"/>
                <w:szCs w:val="24"/>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规划环境影响</w:t>
            </w:r>
          </w:p>
          <w:p>
            <w:pPr>
              <w:autoSpaceDE w:val="0"/>
              <w:autoSpaceDN w:val="0"/>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评价情况</w:t>
            </w:r>
          </w:p>
        </w:tc>
        <w:tc>
          <w:tcPr>
            <w:tcW w:w="6813" w:type="dxa"/>
            <w:gridSpan w:val="4"/>
            <w:noWrap w:val="0"/>
            <w:tcMar>
              <w:top w:w="16" w:type="dxa"/>
              <w:left w:w="16" w:type="dxa"/>
              <w:right w:w="16" w:type="dxa"/>
            </w:tcMar>
            <w:vAlign w:val="center"/>
          </w:tcPr>
          <w:p>
            <w:pPr>
              <w:adjustRightInd w:val="0"/>
              <w:snapToGrid w:val="0"/>
              <w:jc w:val="left"/>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cs="Times New Roman"/>
                <w:color w:val="000000" w:themeColor="text1"/>
                <w:kern w:val="0"/>
                <w:sz w:val="24"/>
                <w:szCs w:val="24"/>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7"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规划及</w:t>
            </w:r>
            <w:r>
              <w:rPr>
                <w:rFonts w:hint="default" w:ascii="Times New Roman" w:hAnsi="Times New Roman" w:cs="Times New Roman"/>
                <w:color w:val="000000" w:themeColor="text1"/>
                <w:sz w:val="24"/>
                <w:szCs w:val="24"/>
                <w14:textFill>
                  <w14:solidFill>
                    <w14:schemeClr w14:val="tx1"/>
                  </w14:solidFill>
                </w14:textFill>
              </w:rPr>
              <w:t>规划环境影响评价</w:t>
            </w:r>
            <w:r>
              <w:rPr>
                <w:rFonts w:hint="default" w:ascii="Times New Roman" w:hAnsi="Times New Roman" w:cs="Times New Roman"/>
                <w:color w:val="000000" w:themeColor="text1"/>
                <w:kern w:val="0"/>
                <w:sz w:val="24"/>
                <w:szCs w:val="24"/>
                <w14:textFill>
                  <w14:solidFill>
                    <w14:schemeClr w14:val="tx1"/>
                  </w14:solidFill>
                </w14:textFill>
              </w:rPr>
              <w:t>符合性分析</w:t>
            </w:r>
          </w:p>
        </w:tc>
        <w:tc>
          <w:tcPr>
            <w:tcW w:w="6813" w:type="dxa"/>
            <w:gridSpan w:val="4"/>
            <w:noWrap w:val="0"/>
            <w:tcMar>
              <w:top w:w="16" w:type="dxa"/>
              <w:left w:w="16" w:type="dxa"/>
              <w:right w:w="16" w:type="dxa"/>
            </w:tcMar>
            <w:vAlign w:val="center"/>
          </w:tcPr>
          <w:p>
            <w:pPr>
              <w:autoSpaceDE w:val="0"/>
              <w:autoSpaceDN w:val="0"/>
              <w:adjustRightInd w:val="0"/>
              <w:snapToGrid w:val="0"/>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cs="Times New Roman"/>
                <w:color w:val="000000" w:themeColor="text1"/>
                <w:kern w:val="0"/>
                <w:sz w:val="24"/>
                <w:szCs w:val="24"/>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995"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bookmarkStart w:id="2" w:name="_Hlk56690880"/>
            <w:r>
              <w:rPr>
                <w:rFonts w:hint="default" w:ascii="Times New Roman" w:hAnsi="Times New Roman" w:cs="Times New Roman"/>
                <w:color w:val="000000" w:themeColor="text1"/>
                <w:kern w:val="0"/>
                <w:sz w:val="24"/>
                <w:szCs w:val="24"/>
                <w14:textFill>
                  <w14:solidFill>
                    <w14:schemeClr w14:val="tx1"/>
                  </w14:solidFill>
                </w14:textFill>
              </w:rPr>
              <w:t>其他符合性分析</w:t>
            </w:r>
            <w:bookmarkEnd w:id="2"/>
          </w:p>
        </w:tc>
        <w:tc>
          <w:tcPr>
            <w:tcW w:w="6813" w:type="dxa"/>
            <w:gridSpan w:val="4"/>
            <w:noWrap w:val="0"/>
            <w:tcMar>
              <w:top w:w="16" w:type="dxa"/>
              <w:left w:w="16" w:type="dxa"/>
              <w:right w:w="16" w:type="dxa"/>
            </w:tcMar>
            <w:vAlign w:val="center"/>
          </w:tcPr>
          <w:p>
            <w:pPr>
              <w:autoSpaceDE w:val="0"/>
              <w:autoSpaceDN w:val="0"/>
              <w:adjustRightInd w:val="0"/>
              <w:snapToGrid w:val="0"/>
              <w:rPr>
                <w:rFonts w:hint="eastAsia" w:cs="Times New Roman"/>
                <w:color w:val="000000" w:themeColor="text1"/>
                <w:kern w:val="0"/>
                <w:sz w:val="24"/>
                <w:szCs w:val="24"/>
                <w:lang w:val="en-US" w:eastAsia="zh-CN"/>
                <w14:textFill>
                  <w14:solidFill>
                    <w14:schemeClr w14:val="tx1"/>
                  </w14:solidFill>
                </w14:textFill>
              </w:rPr>
            </w:pPr>
            <w:r>
              <w:rPr>
                <w:rFonts w:hint="eastAsia" w:cs="Times New Roman"/>
                <w:color w:val="000000" w:themeColor="text1"/>
                <w:kern w:val="0"/>
                <w:sz w:val="24"/>
                <w:szCs w:val="24"/>
                <w:lang w:val="en-US" w:eastAsia="zh-CN"/>
                <w14:textFill>
                  <w14:solidFill>
                    <w14:schemeClr w14:val="tx1"/>
                  </w14:solidFill>
                </w14:textFill>
              </w:rPr>
              <w:t>本项目与相关规划符合性分析见下表1-1。</w:t>
            </w:r>
          </w:p>
          <w:p>
            <w:pPr>
              <w:autoSpaceDE w:val="0"/>
              <w:autoSpaceDN w:val="0"/>
              <w:adjustRightInd w:val="0"/>
              <w:snapToGrid w:val="0"/>
              <w:jc w:val="center"/>
              <w:rPr>
                <w:rFonts w:hint="default" w:cs="Times New Roman"/>
                <w:color w:val="000000" w:themeColor="text1"/>
                <w:kern w:val="0"/>
                <w:sz w:val="24"/>
                <w:szCs w:val="24"/>
                <w:lang w:val="en-US" w:eastAsia="zh-CN"/>
                <w14:textFill>
                  <w14:solidFill>
                    <w14:schemeClr w14:val="tx1"/>
                  </w14:solidFill>
                </w14:textFill>
              </w:rPr>
            </w:pPr>
            <w:r>
              <w:rPr>
                <w:rFonts w:hint="eastAsia" w:cs="Times New Roman"/>
                <w:color w:val="000000" w:themeColor="text1"/>
                <w:kern w:val="0"/>
                <w:sz w:val="24"/>
                <w:szCs w:val="24"/>
                <w:lang w:val="en-US" w:eastAsia="zh-CN"/>
                <w14:textFill>
                  <w14:solidFill>
                    <w14:schemeClr w14:val="tx1"/>
                  </w14:solidFill>
                </w14:textFill>
              </w:rPr>
              <w:t>表1-1  本项目与相关规划符合性分析一览表</w:t>
            </w:r>
          </w:p>
          <w:tbl>
            <w:tblPr>
              <w:tblStyle w:val="18"/>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3"/>
              <w:gridCol w:w="999"/>
              <w:gridCol w:w="916"/>
              <w:gridCol w:w="3695"/>
              <w:gridCol w:w="6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394" w:type="pct"/>
                  <w:vAlign w:val="center"/>
                </w:tcPr>
                <w:p>
                  <w:pPr>
                    <w:spacing w:line="24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序号</w:t>
                  </w:r>
                </w:p>
              </w:tc>
              <w:tc>
                <w:tcPr>
                  <w:tcW w:w="740" w:type="pct"/>
                  <w:vAlign w:val="center"/>
                </w:tcPr>
                <w:p>
                  <w:pPr>
                    <w:spacing w:line="24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分析判定</w:t>
                  </w:r>
                </w:p>
                <w:p>
                  <w:pPr>
                    <w:spacing w:line="24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内容</w:t>
                  </w:r>
                </w:p>
              </w:tc>
              <w:tc>
                <w:tcPr>
                  <w:tcW w:w="3415" w:type="pct"/>
                  <w:gridSpan w:val="2"/>
                  <w:vAlign w:val="center"/>
                </w:tcPr>
                <w:p>
                  <w:pPr>
                    <w:spacing w:line="24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项目</w:t>
                  </w:r>
                  <w:r>
                    <w:rPr>
                      <w:rFonts w:hint="eastAsia"/>
                      <w:color w:val="000000" w:themeColor="text1"/>
                      <w:kern w:val="0"/>
                      <w:szCs w:val="21"/>
                      <w:lang w:val="en-US" w:eastAsia="zh-CN"/>
                      <w14:textFill>
                        <w14:solidFill>
                          <w14:schemeClr w14:val="tx1"/>
                        </w14:solidFill>
                      </w14:textFill>
                    </w:rPr>
                    <w:t>实际</w:t>
                  </w:r>
                  <w:r>
                    <w:rPr>
                      <w:rFonts w:ascii="Times New Roman" w:hAnsi="Times New Roman"/>
                      <w:color w:val="000000" w:themeColor="text1"/>
                      <w:kern w:val="0"/>
                      <w:szCs w:val="21"/>
                      <w14:textFill>
                        <w14:solidFill>
                          <w14:schemeClr w14:val="tx1"/>
                        </w14:solidFill>
                      </w14:textFill>
                    </w:rPr>
                    <w:t>情况</w:t>
                  </w:r>
                </w:p>
              </w:tc>
              <w:tc>
                <w:tcPr>
                  <w:tcW w:w="449" w:type="pct"/>
                  <w:vAlign w:val="center"/>
                </w:tcPr>
                <w:p>
                  <w:pPr>
                    <w:spacing w:line="24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394" w:type="pct"/>
                  <w:vAlign w:val="center"/>
                </w:tcPr>
                <w:p>
                  <w:pPr>
                    <w:jc w:val="center"/>
                    <w:rPr>
                      <w:rFonts w:hint="eastAsia" w:ascii="Times New Roman" w:hAnsi="Times New Roman" w:eastAsia="宋体" w:cs="Times New Roman"/>
                      <w:color w:val="000000" w:themeColor="text1"/>
                      <w:kern w:val="0"/>
                      <w:sz w:val="21"/>
                      <w:szCs w:val="22"/>
                      <w:lang w:val="en-US" w:eastAsia="zh-CN" w:bidi="ar-SA"/>
                      <w14:textFill>
                        <w14:solidFill>
                          <w14:schemeClr w14:val="tx1"/>
                        </w14:solidFill>
                      </w14:textFill>
                    </w:rPr>
                  </w:pPr>
                  <w:r>
                    <w:rPr>
                      <w:rFonts w:hint="eastAsia" w:cs="Times New Roman"/>
                      <w:color w:val="000000" w:themeColor="text1"/>
                      <w:kern w:val="0"/>
                      <w:sz w:val="21"/>
                      <w:szCs w:val="22"/>
                      <w:lang w:val="en-US" w:eastAsia="zh-CN" w:bidi="ar-SA"/>
                      <w14:textFill>
                        <w14:solidFill>
                          <w14:schemeClr w14:val="tx1"/>
                        </w14:solidFill>
                      </w14:textFill>
                    </w:rPr>
                    <w:t>1</w:t>
                  </w:r>
                </w:p>
              </w:tc>
              <w:tc>
                <w:tcPr>
                  <w:tcW w:w="740" w:type="pct"/>
                  <w:vAlign w:val="center"/>
                </w:tcPr>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《陕西环境保护“十三五”规划》</w:t>
                  </w:r>
                </w:p>
              </w:tc>
              <w:tc>
                <w:tcPr>
                  <w:tcW w:w="3415" w:type="pct"/>
                  <w:gridSpan w:val="2"/>
                  <w:vAlign w:val="center"/>
                </w:tcPr>
                <w:p>
                  <w:pPr>
                    <w:pStyle w:val="40"/>
                    <w:ind w:firstLine="420" w:firstLineChars="200"/>
                    <w:jc w:val="both"/>
                    <w:rPr>
                      <w:rFonts w:hint="default" w:ascii="Times New Roman" w:hAnsi="Times New Roman"/>
                      <w:color w:val="000000" w:themeColor="text1"/>
                      <w:sz w:val="21"/>
                      <w14:textFill>
                        <w14:solidFill>
                          <w14:schemeClr w14:val="tx1"/>
                        </w14:solidFill>
                      </w14:textFill>
                    </w:rPr>
                  </w:pPr>
                  <w:r>
                    <w:rPr>
                      <w:rFonts w:hint="eastAsia" w:ascii="Times New Roman" w:hAnsi="Times New Roman"/>
                      <w:color w:val="000000" w:themeColor="text1"/>
                      <w:sz w:val="21"/>
                      <w:lang w:val="en-US" w:eastAsia="zh-CN"/>
                      <w14:textFill>
                        <w14:solidFill>
                          <w14:schemeClr w14:val="tx1"/>
                        </w14:solidFill>
                      </w14:textFill>
                    </w:rPr>
                    <w:t>根据《陕西环境保护“十三五”规划》的要求，提升能源清洁化利用水平“</w:t>
                  </w:r>
                  <w:r>
                    <w:rPr>
                      <w:rFonts w:hint="default" w:ascii="Times New Roman" w:hAnsi="Times New Roman"/>
                      <w:color w:val="000000" w:themeColor="text1"/>
                      <w:sz w:val="21"/>
                      <w14:textFill>
                        <w14:solidFill>
                          <w14:schemeClr w14:val="tx1"/>
                        </w14:solidFill>
                      </w14:textFill>
                    </w:rPr>
                    <w:t>优化能源消费结构，大力推广清洁能源。持续推进陕北百万千瓦风电基地建设，重点发展关中地区分布式光伏发电项目。</w:t>
                  </w:r>
                  <w:r>
                    <w:rPr>
                      <w:rFonts w:hint="eastAsia" w:ascii="Times New Roman" w:hAnsi="Times New Roman"/>
                      <w:color w:val="000000" w:themeColor="text1"/>
                      <w:sz w:val="21"/>
                      <w:lang w:val="en-US" w:eastAsia="zh-CN"/>
                      <w14:textFill>
                        <w14:solidFill>
                          <w14:schemeClr w14:val="tx1"/>
                        </w14:solidFill>
                      </w14:textFill>
                    </w:rPr>
                    <w:t>”</w:t>
                  </w:r>
                </w:p>
                <w:p>
                  <w:pPr>
                    <w:pStyle w:val="40"/>
                    <w:ind w:firstLine="420" w:firstLineChars="200"/>
                    <w:jc w:val="both"/>
                    <w:rPr>
                      <w:rFonts w:hint="default" w:ascii="Times New Roman" w:hAnsi="Times New Roman"/>
                      <w:color w:val="000000" w:themeColor="text1"/>
                      <w:sz w:val="21"/>
                      <w14:textFill>
                        <w14:solidFill>
                          <w14:schemeClr w14:val="tx1"/>
                        </w14:solidFill>
                      </w14:textFill>
                    </w:rPr>
                  </w:pPr>
                  <w:r>
                    <w:rPr>
                      <w:rFonts w:hint="default" w:ascii="Times New Roman" w:hAnsi="Times New Roman"/>
                      <w:color w:val="000000" w:themeColor="text1"/>
                      <w:sz w:val="21"/>
                      <w14:textFill>
                        <w14:solidFill>
                          <w14:schemeClr w14:val="tx1"/>
                        </w14:solidFill>
                      </w14:textFill>
                    </w:rPr>
                    <w:t>本项目属于分散式风电项目，是以风能为能源的绿色再生资源产业，能有效节约能源和改善能源结构</w:t>
                  </w:r>
                  <w:r>
                    <w:rPr>
                      <w:rFonts w:hint="eastAsia" w:ascii="Times New Roman" w:hAnsi="Times New Roman"/>
                      <w:color w:val="000000" w:themeColor="text1"/>
                      <w:sz w:val="21"/>
                      <w:lang w:eastAsia="zh-CN"/>
                      <w14:textFill>
                        <w14:solidFill>
                          <w14:schemeClr w14:val="tx1"/>
                        </w14:solidFill>
                      </w14:textFill>
                    </w:rPr>
                    <w:t>，</w:t>
                  </w:r>
                  <w:r>
                    <w:rPr>
                      <w:rFonts w:hint="default" w:ascii="Times New Roman" w:hAnsi="Times New Roman"/>
                      <w:color w:val="000000" w:themeColor="text1"/>
                      <w:sz w:val="21"/>
                      <w14:textFill>
                        <w14:solidFill>
                          <w14:schemeClr w14:val="tx1"/>
                        </w14:solidFill>
                      </w14:textFill>
                    </w:rPr>
                    <w:t>有利于规划的实现，符合陕西环境保护十三五规划。</w:t>
                  </w:r>
                </w:p>
              </w:tc>
              <w:tc>
                <w:tcPr>
                  <w:tcW w:w="449" w:type="pct"/>
                  <w:vAlign w:val="center"/>
                </w:tcPr>
                <w:p>
                  <w:pPr>
                    <w:rPr>
                      <w:rFonts w:hint="eastAsia" w:ascii="Times New Roman" w:hAnsi="Times New Roman" w:eastAsia="宋体"/>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394" w:type="pct"/>
                  <w:vAlign w:val="center"/>
                </w:tcPr>
                <w:p>
                  <w:pPr>
                    <w:jc w:val="center"/>
                    <w:rPr>
                      <w:rFonts w:hint="default"/>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p>
              </w:tc>
              <w:tc>
                <w:tcPr>
                  <w:tcW w:w="999" w:type="dxa"/>
                  <w:vAlign w:val="center"/>
                </w:tcPr>
                <w:p>
                  <w:pPr>
                    <w:pStyle w:val="40"/>
                    <w:jc w:val="both"/>
                    <w:rPr>
                      <w:rFonts w:hint="default" w:ascii="Times New Roman" w:hAnsi="Times New Roman"/>
                      <w:color w:val="000000" w:themeColor="text1"/>
                      <w:sz w:val="21"/>
                      <w:szCs w:val="21"/>
                      <w14:textFill>
                        <w14:solidFill>
                          <w14:schemeClr w14:val="tx1"/>
                        </w14:solidFill>
                      </w14:textFill>
                    </w:rPr>
                  </w:pPr>
                  <w:r>
                    <w:rPr>
                      <w:rFonts w:hint="default" w:ascii="Times New Roman" w:hAnsi="Times New Roman"/>
                      <w:color w:val="FF0000"/>
                      <w:sz w:val="21"/>
                    </w:rPr>
                    <w:t>《国家林业和草原局关于规范风电场项目建设使用林地的通知》</w:t>
                  </w:r>
                </w:p>
              </w:tc>
              <w:tc>
                <w:tcPr>
                  <w:tcW w:w="4611" w:type="dxa"/>
                  <w:gridSpan w:val="2"/>
                  <w:vAlign w:val="center"/>
                </w:tcPr>
                <w:p>
                  <w:pPr>
                    <w:bidi w:val="0"/>
                    <w:rPr>
                      <w:rFonts w:hint="default"/>
                      <w:color w:val="FF0000"/>
                    </w:rPr>
                  </w:pPr>
                  <w:r>
                    <w:rPr>
                      <w:rFonts w:hint="default"/>
                      <w:color w:val="FF0000"/>
                    </w:rPr>
                    <w:t>风电场建设使用林地禁建区域</w:t>
                  </w:r>
                  <w:r>
                    <w:rPr>
                      <w:rFonts w:hint="eastAsia"/>
                      <w:color w:val="FF0000"/>
                      <w:lang w:eastAsia="zh-CN"/>
                    </w:rPr>
                    <w:t>。</w:t>
                  </w:r>
                  <w:r>
                    <w:rPr>
                      <w:rFonts w:hint="default"/>
                      <w:color w:val="FF0000"/>
                    </w:rPr>
                    <w:t>严格保护生态功能重要、生态脆弱敏感区域的林地。自然遗产地、国家公园、自然保护区、森林公园、湿地公园、地质公园、风景名胜区、鸟类主要迁徙通道和迁徙地等区域以及沿海基干林带和消浪林带，为风电场项目禁止建设区域。</w:t>
                  </w:r>
                </w:p>
                <w:p>
                  <w:pPr>
                    <w:bidi w:val="0"/>
                    <w:ind w:firstLine="420" w:firstLineChars="200"/>
                    <w:rPr>
                      <w:rFonts w:hint="eastAsia"/>
                      <w:color w:val="000000" w:themeColor="text1"/>
                      <w:lang w:val="en-US" w:eastAsia="zh-CN"/>
                      <w14:textFill>
                        <w14:solidFill>
                          <w14:schemeClr w14:val="tx1"/>
                        </w14:solidFill>
                      </w14:textFill>
                    </w:rPr>
                  </w:pPr>
                  <w:r>
                    <w:rPr>
                      <w:rFonts w:hint="eastAsia"/>
                      <w:color w:val="FF0000"/>
                      <w:lang w:val="en-US" w:eastAsia="zh-CN"/>
                    </w:rPr>
                    <w:t>本项目位于澄城县王庄镇，永久占地和临时占地均不在</w:t>
                  </w:r>
                  <w:r>
                    <w:rPr>
                      <w:rFonts w:hint="default"/>
                      <w:color w:val="FF0000"/>
                    </w:rPr>
                    <w:t>自然遗产地、国家公园、自然保护区、森林公园、湿地公园、地质公园、风景名胜区、鸟类主要迁徙通道和迁徙地等区域以及沿海基干林带和消浪林带</w:t>
                  </w:r>
                  <w:r>
                    <w:rPr>
                      <w:rFonts w:hint="eastAsia"/>
                      <w:color w:val="FF0000"/>
                      <w:lang w:val="en-US" w:eastAsia="zh-CN"/>
                    </w:rPr>
                    <w:t>范围内，属于风电场允许建设区域。</w:t>
                  </w:r>
                </w:p>
              </w:tc>
              <w:tc>
                <w:tcPr>
                  <w:tcW w:w="449" w:type="pct"/>
                  <w:vAlign w:val="center"/>
                </w:tcPr>
                <w:p>
                  <w:pPr>
                    <w:rPr>
                      <w:rFonts w:hint="eastAsia" w:ascii="Times New Roman" w:hAnsi="Times New Roman"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394" w:type="pct"/>
                  <w:vMerge w:val="restart"/>
                  <w:vAlign w:val="center"/>
                </w:tcPr>
                <w:p>
                  <w:pPr>
                    <w:jc w:val="center"/>
                    <w:rPr>
                      <w:rFonts w:hint="eastAsia" w:ascii="Times New Roman" w:hAnsi="Times New Roman"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3</w:t>
                  </w:r>
                </w:p>
              </w:tc>
              <w:tc>
                <w:tcPr>
                  <w:tcW w:w="740" w:type="pct"/>
                  <w:vMerge w:val="restart"/>
                  <w:vAlign w:val="center"/>
                </w:tcPr>
                <w:p>
                  <w:pPr>
                    <w:pStyle w:val="40"/>
                    <w:jc w:val="both"/>
                    <w:rPr>
                      <w:rFonts w:hint="default"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“三线一单”符合性分析</w:t>
                  </w:r>
                </w:p>
              </w:tc>
              <w:tc>
                <w:tcPr>
                  <w:tcW w:w="678" w:type="pct"/>
                  <w:vAlign w:val="center"/>
                </w:tcPr>
                <w:p>
                  <w:pPr>
                    <w:pStyle w:val="40"/>
                    <w:spacing w:line="240" w:lineRule="exact"/>
                    <w:jc w:val="both"/>
                    <w:rPr>
                      <w:rFonts w:hint="default"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生态保护红线</w:t>
                  </w:r>
                </w:p>
              </w:tc>
              <w:tc>
                <w:tcPr>
                  <w:tcW w:w="2737" w:type="pct"/>
                  <w:vAlign w:val="center"/>
                </w:tcPr>
                <w:p>
                  <w:pPr>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本项目所在区无自然保护区、风景名胜区、饮用水源保护区等敏感区，不涉及生态红线。</w:t>
                  </w:r>
                </w:p>
                <w:p>
                  <w:pPr>
                    <w:ind w:firstLine="420" w:firstLineChars="200"/>
                    <w:rPr>
                      <w:rFonts w:hint="default" w:ascii="Times New Roman" w:hAnsi="Times New Roman"/>
                      <w:color w:val="000000" w:themeColor="text1"/>
                      <w:kern w:val="0"/>
                      <w:szCs w:val="21"/>
                      <w:lang w:val="en-US"/>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根据</w:t>
                  </w:r>
                  <w:r>
                    <w:rPr>
                      <w:rFonts w:hint="default" w:ascii="Times New Roman" w:hAnsi="Times New Roman" w:cs="Times New Roman"/>
                      <w:color w:val="000000" w:themeColor="text1"/>
                      <w:kern w:val="0"/>
                      <w:sz w:val="21"/>
                      <w:szCs w:val="21"/>
                      <w:lang w:val="en-US" w:eastAsia="zh-CN"/>
                      <w14:textFill>
                        <w14:solidFill>
                          <w14:schemeClr w14:val="tx1"/>
                        </w14:solidFill>
                      </w14:textFill>
                    </w:rPr>
                    <w:t>澄城县</w:t>
                  </w:r>
                  <w:r>
                    <w:rPr>
                      <w:rFonts w:hint="default" w:ascii="Times New Roman" w:hAnsi="Times New Roman" w:cs="Times New Roman"/>
                      <w:color w:val="000000" w:themeColor="text1"/>
                      <w:kern w:val="0"/>
                      <w:sz w:val="21"/>
                      <w:szCs w:val="21"/>
                      <w14:textFill>
                        <w14:solidFill>
                          <w14:schemeClr w14:val="tx1"/>
                        </w14:solidFill>
                      </w14:textFill>
                    </w:rPr>
                    <w:t>林业局《关于</w:t>
                  </w:r>
                  <w:r>
                    <w:rPr>
                      <w:rFonts w:hint="default" w:ascii="Times New Roman" w:hAnsi="Times New Roman" w:cs="Times New Roman"/>
                      <w:color w:val="000000" w:themeColor="text1"/>
                      <w:kern w:val="0"/>
                      <w:sz w:val="21"/>
                      <w:szCs w:val="21"/>
                      <w:lang w:val="en-US" w:eastAsia="zh-CN"/>
                      <w14:textFill>
                        <w14:solidFill>
                          <w14:schemeClr w14:val="tx1"/>
                        </w14:solidFill>
                      </w14:textFill>
                    </w:rPr>
                    <w:t>澄城县神船新能源有限公司澄城县王庄镇20兆瓦分散式风电项目选址征求意见的回复</w:t>
                  </w:r>
                  <w:r>
                    <w:rPr>
                      <w:rFonts w:hint="default" w:ascii="Times New Roman" w:hAnsi="Times New Roman" w:cs="Times New Roman"/>
                      <w:color w:val="000000" w:themeColor="text1"/>
                      <w:kern w:val="0"/>
                      <w:sz w:val="21"/>
                      <w:szCs w:val="21"/>
                      <w14:textFill>
                        <w14:solidFill>
                          <w14:schemeClr w14:val="tx1"/>
                        </w14:solidFill>
                      </w14:textFill>
                    </w:rPr>
                    <w:t>》</w:t>
                  </w:r>
                  <w:r>
                    <w:rPr>
                      <w:rFonts w:hint="default" w:ascii="Times New Roman" w:hAnsi="Times New Roman" w:cs="Times New Roman"/>
                      <w:color w:val="000000" w:themeColor="text1"/>
                      <w:kern w:val="0"/>
                      <w:sz w:val="21"/>
                      <w:szCs w:val="21"/>
                      <w:lang w:eastAsia="zh-CN"/>
                      <w14:textFill>
                        <w14:solidFill>
                          <w14:schemeClr w14:val="tx1"/>
                        </w14:solidFill>
                      </w14:textFill>
                    </w:rPr>
                    <w:t>（</w:t>
                  </w:r>
                  <w:r>
                    <w:rPr>
                      <w:rFonts w:hint="default" w:ascii="Times New Roman" w:hAnsi="Times New Roman" w:cs="Times New Roman"/>
                      <w:color w:val="000000" w:themeColor="text1"/>
                      <w:kern w:val="0"/>
                      <w:sz w:val="21"/>
                      <w:szCs w:val="21"/>
                      <w:lang w:val="en-US" w:eastAsia="zh-CN"/>
                      <w14:textFill>
                        <w14:solidFill>
                          <w14:schemeClr w14:val="tx1"/>
                        </w14:solidFill>
                      </w14:textFill>
                    </w:rPr>
                    <w:t>澄政林函[2020]66号</w:t>
                  </w:r>
                  <w:r>
                    <w:rPr>
                      <w:rFonts w:hint="default" w:ascii="Times New Roman" w:hAnsi="Times New Roman" w:cs="Times New Roman"/>
                      <w:color w:val="000000" w:themeColor="text1"/>
                      <w:kern w:val="0"/>
                      <w:sz w:val="21"/>
                      <w:szCs w:val="21"/>
                      <w:lang w:eastAsia="zh-CN"/>
                      <w14:textFill>
                        <w14:solidFill>
                          <w14:schemeClr w14:val="tx1"/>
                        </w14:solidFill>
                      </w14:textFill>
                    </w:rPr>
                    <w:t>）</w:t>
                  </w:r>
                  <w:r>
                    <w:rPr>
                      <w:rFonts w:hint="default" w:ascii="Times New Roman" w:hAnsi="Times New Roman" w:cs="Times New Roman"/>
                      <w:color w:val="000000" w:themeColor="text1"/>
                      <w:kern w:val="0"/>
                      <w:sz w:val="21"/>
                      <w:szCs w:val="21"/>
                      <w14:textFill>
                        <w14:solidFill>
                          <w14:schemeClr w14:val="tx1"/>
                        </w14:solidFill>
                      </w14:textFill>
                    </w:rPr>
                    <w:t>，本项目选址</w:t>
                  </w:r>
                  <w:r>
                    <w:rPr>
                      <w:rFonts w:hint="default" w:ascii="Times New Roman" w:hAnsi="Times New Roman" w:cs="Times New Roman"/>
                      <w:color w:val="000000" w:themeColor="text1"/>
                      <w:kern w:val="0"/>
                      <w:sz w:val="21"/>
                      <w:szCs w:val="21"/>
                      <w:lang w:val="en-US" w:eastAsia="zh-CN"/>
                      <w14:textFill>
                        <w14:solidFill>
                          <w14:schemeClr w14:val="tx1"/>
                        </w14:solidFill>
                      </w14:textFill>
                    </w:rPr>
                    <w:t>不在林地范围内</w:t>
                  </w:r>
                  <w:r>
                    <w:rPr>
                      <w:rFonts w:hint="default" w:ascii="Times New Roman" w:hAnsi="Times New Roman" w:cs="Times New Roman"/>
                      <w:color w:val="000000" w:themeColor="text1"/>
                      <w:kern w:val="0"/>
                      <w:sz w:val="21"/>
                      <w:szCs w:val="21"/>
                      <w14:textFill>
                        <w14:solidFill>
                          <w14:schemeClr w14:val="tx1"/>
                        </w14:solidFill>
                      </w14:textFill>
                    </w:rPr>
                    <w:t>（见附件</w:t>
                  </w:r>
                  <w:r>
                    <w:rPr>
                      <w:rFonts w:hint="eastAsia" w:cs="Times New Roman"/>
                      <w:color w:val="000000" w:themeColor="text1"/>
                      <w:kern w:val="0"/>
                      <w:sz w:val="21"/>
                      <w:szCs w:val="21"/>
                      <w:lang w:val="en-US" w:eastAsia="zh-CN"/>
                      <w14:textFill>
                        <w14:solidFill>
                          <w14:schemeClr w14:val="tx1"/>
                        </w14:solidFill>
                      </w14:textFill>
                    </w:rPr>
                    <w:t>5</w:t>
                  </w:r>
                  <w:r>
                    <w:rPr>
                      <w:rFonts w:hint="default" w:ascii="Times New Roman" w:hAnsi="Times New Roman" w:cs="Times New Roman"/>
                      <w:color w:val="000000" w:themeColor="text1"/>
                      <w:kern w:val="0"/>
                      <w:sz w:val="21"/>
                      <w:szCs w:val="21"/>
                      <w14:textFill>
                        <w14:solidFill>
                          <w14:schemeClr w14:val="tx1"/>
                        </w14:solidFill>
                      </w14:textFill>
                    </w:rPr>
                    <w:t>）。</w:t>
                  </w:r>
                  <w:r>
                    <w:rPr>
                      <w:rFonts w:hint="eastAsia"/>
                      <w:color w:val="000000" w:themeColor="text1"/>
                      <w:lang w:val="en-US" w:eastAsia="zh-CN"/>
                      <w14:textFill>
                        <w14:solidFill>
                          <w14:schemeClr w14:val="tx1"/>
                        </w14:solidFill>
                      </w14:textFill>
                    </w:rPr>
                    <w:t>根据澄城县水务局《关于澄城县王庄镇20兆瓦分散式风电项目选址是否涉及河流水库保护区域的复函》（澄水函[2021]14号），本项目选址不在河流水库管理保护区域（见附件6）。</w:t>
                  </w:r>
                  <w:r>
                    <w:rPr>
                      <w:rFonts w:ascii="Times New Roman" w:hAnsi="Times New Roman"/>
                      <w:color w:val="000000" w:themeColor="text1"/>
                      <w14:textFill>
                        <w14:solidFill>
                          <w14:schemeClr w14:val="tx1"/>
                        </w14:solidFill>
                      </w14:textFill>
                    </w:rPr>
                    <w:t>根据</w:t>
                  </w:r>
                  <w:r>
                    <w:rPr>
                      <w:rFonts w:hint="eastAsia"/>
                      <w:color w:val="000000" w:themeColor="text1"/>
                      <w:lang w:val="en-US" w:eastAsia="zh-CN"/>
                      <w14:textFill>
                        <w14:solidFill>
                          <w14:schemeClr w14:val="tx1"/>
                        </w14:solidFill>
                      </w14:textFill>
                    </w:rPr>
                    <w:t>澄城县文化和旅游局</w:t>
                  </w:r>
                  <w:r>
                    <w:rPr>
                      <w:rFonts w:ascii="Times New Roman" w:hAnsi="Times New Roman"/>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关于澄城县王庄镇20兆瓦分散式风电项目选址征求意见的复函</w:t>
                  </w:r>
                  <w:r>
                    <w:rPr>
                      <w:rFonts w:ascii="Times New Roman" w:hAnsi="Times New Roman"/>
                      <w:color w:val="000000" w:themeColor="text1"/>
                      <w14:textFill>
                        <w14:solidFill>
                          <w14:schemeClr w14:val="tx1"/>
                        </w14:solidFill>
                      </w14:textFill>
                    </w:rPr>
                    <w:t>》，本项目选址</w:t>
                  </w:r>
                  <w:r>
                    <w:rPr>
                      <w:rFonts w:hint="eastAsia"/>
                      <w:color w:val="000000" w:themeColor="text1"/>
                      <w:lang w:val="en-US" w:eastAsia="zh-CN"/>
                      <w14:textFill>
                        <w14:solidFill>
                          <w14:schemeClr w14:val="tx1"/>
                        </w14:solidFill>
                      </w14:textFill>
                    </w:rPr>
                    <w:t>不在文物遗址保护范围</w:t>
                  </w:r>
                  <w:r>
                    <w:rPr>
                      <w:rFonts w:ascii="Times New Roman" w:hAnsi="Times New Roman"/>
                      <w:color w:val="000000" w:themeColor="text1"/>
                      <w14:textFill>
                        <w14:solidFill>
                          <w14:schemeClr w14:val="tx1"/>
                        </w14:solidFill>
                      </w14:textFill>
                    </w:rPr>
                    <w:t>（见附件</w:t>
                  </w:r>
                  <w:r>
                    <w:rPr>
                      <w:rFonts w:hint="eastAsia"/>
                      <w:color w:val="000000" w:themeColor="text1"/>
                      <w:lang w:val="en-US" w:eastAsia="zh-CN"/>
                      <w14:textFill>
                        <w14:solidFill>
                          <w14:schemeClr w14:val="tx1"/>
                        </w14:solidFill>
                      </w14:textFill>
                    </w:rPr>
                    <w:t>7</w:t>
                  </w:r>
                  <w:r>
                    <w:rPr>
                      <w:rFonts w:ascii="Times New Roman" w:hAnsi="Times New Roman"/>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根据澄城县自然资源局《关于澄城县王庄镇20兆瓦分散式风电项目选址是否涉及生态保护红线范围的说明》，本项目选址不涉及澄城县生态保护红线内土地（</w:t>
                  </w:r>
                  <w:r>
                    <w:rPr>
                      <w:rFonts w:ascii="Times New Roman" w:hAnsi="Times New Roman"/>
                      <w:color w:val="000000" w:themeColor="text1"/>
                      <w14:textFill>
                        <w14:solidFill>
                          <w14:schemeClr w14:val="tx1"/>
                        </w14:solidFill>
                      </w14:textFill>
                    </w:rPr>
                    <w:t>见附件</w:t>
                  </w:r>
                  <w:r>
                    <w:rPr>
                      <w:rFonts w:hint="eastAsia"/>
                      <w:color w:val="000000" w:themeColor="text1"/>
                      <w:lang w:val="en-US" w:eastAsia="zh-CN"/>
                      <w14:textFill>
                        <w14:solidFill>
                          <w14:schemeClr w14:val="tx1"/>
                        </w14:solidFill>
                      </w14:textFill>
                    </w:rPr>
                    <w:t>8</w:t>
                  </w:r>
                  <w:r>
                    <w:rPr>
                      <w:rFonts w:ascii="Times New Roman" w:hAnsi="Times New Roman"/>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。根据中共人民解放军陕西省澄城县人民武装部《关于对澄城县王庄镇20MW分散式风电项目选址范围内军事设施的批复》（澄武[2021]6号），本项目选址范围内无军事设施及地下军用设施（附件9）。</w:t>
                  </w:r>
                </w:p>
              </w:tc>
              <w:tc>
                <w:tcPr>
                  <w:tcW w:w="449" w:type="pct"/>
                  <w:vAlign w:val="center"/>
                </w:tcPr>
                <w:p>
                  <w:pP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394" w:type="pct"/>
                  <w:vMerge w:val="continue"/>
                  <w:vAlign w:val="center"/>
                </w:tcPr>
                <w:p>
                  <w:pPr>
                    <w:rPr>
                      <w:rFonts w:ascii="Times New Roman" w:hAnsi="Times New Roman"/>
                      <w:color w:val="000000" w:themeColor="text1"/>
                      <w14:textFill>
                        <w14:solidFill>
                          <w14:schemeClr w14:val="tx1"/>
                        </w14:solidFill>
                      </w14:textFill>
                    </w:rPr>
                  </w:pPr>
                </w:p>
              </w:tc>
              <w:tc>
                <w:tcPr>
                  <w:tcW w:w="740" w:type="pct"/>
                  <w:vMerge w:val="continue"/>
                  <w:vAlign w:val="center"/>
                </w:tcPr>
                <w:p>
                  <w:pPr>
                    <w:rPr>
                      <w:rFonts w:ascii="Times New Roman" w:hAnsi="Times New Roman"/>
                      <w:color w:val="000000" w:themeColor="text1"/>
                      <w14:textFill>
                        <w14:solidFill>
                          <w14:schemeClr w14:val="tx1"/>
                        </w14:solidFill>
                      </w14:textFill>
                    </w:rPr>
                  </w:pPr>
                </w:p>
              </w:tc>
              <w:tc>
                <w:tcPr>
                  <w:tcW w:w="678" w:type="pct"/>
                  <w:vAlign w:val="center"/>
                </w:tcPr>
                <w:p>
                  <w:pPr>
                    <w:spacing w:line="240" w:lineRule="exac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资源利用上线</w:t>
                  </w:r>
                </w:p>
              </w:tc>
              <w:tc>
                <w:tcPr>
                  <w:tcW w:w="2737" w:type="pct"/>
                  <w:vAlign w:val="center"/>
                </w:tcPr>
                <w:p>
                  <w:pPr>
                    <w:ind w:firstLine="42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本项目为风力发电建设项目，施工期主要能源消耗为水、电，能源消耗量较小，因此项目不触及资源利用上线。</w:t>
                  </w:r>
                </w:p>
              </w:tc>
              <w:tc>
                <w:tcPr>
                  <w:tcW w:w="449" w:type="pct"/>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394" w:type="pct"/>
                  <w:vMerge w:val="continue"/>
                  <w:vAlign w:val="center"/>
                </w:tcPr>
                <w:p>
                  <w:pPr>
                    <w:rPr>
                      <w:rFonts w:ascii="Times New Roman" w:hAnsi="Times New Roman"/>
                      <w:color w:val="000000" w:themeColor="text1"/>
                      <w14:textFill>
                        <w14:solidFill>
                          <w14:schemeClr w14:val="tx1"/>
                        </w14:solidFill>
                      </w14:textFill>
                    </w:rPr>
                  </w:pPr>
                </w:p>
              </w:tc>
              <w:tc>
                <w:tcPr>
                  <w:tcW w:w="740" w:type="pct"/>
                  <w:vMerge w:val="continue"/>
                  <w:vAlign w:val="center"/>
                </w:tcPr>
                <w:p>
                  <w:pPr>
                    <w:rPr>
                      <w:rFonts w:ascii="Times New Roman" w:hAnsi="Times New Roman"/>
                      <w:color w:val="000000" w:themeColor="text1"/>
                      <w14:textFill>
                        <w14:solidFill>
                          <w14:schemeClr w14:val="tx1"/>
                        </w14:solidFill>
                      </w14:textFill>
                    </w:rPr>
                  </w:pPr>
                </w:p>
              </w:tc>
              <w:tc>
                <w:tcPr>
                  <w:tcW w:w="678" w:type="pct"/>
                  <w:vAlign w:val="center"/>
                </w:tcPr>
                <w:p>
                  <w:pPr>
                    <w:spacing w:line="240" w:lineRule="exac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环境质量底线</w:t>
                  </w:r>
                </w:p>
              </w:tc>
              <w:tc>
                <w:tcPr>
                  <w:tcW w:w="2737" w:type="pct"/>
                  <w:vAlign w:val="center"/>
                </w:tcPr>
                <w:p>
                  <w:pPr>
                    <w:ind w:firstLine="420" w:firstLineChars="20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项目建成后无废气、废水排放，固废合理处置，对环境的影响较小，不会改变区域环境功能，项目的建设不触及环境质量底线。</w:t>
                  </w:r>
                </w:p>
              </w:tc>
              <w:tc>
                <w:tcPr>
                  <w:tcW w:w="449" w:type="pct"/>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394" w:type="pct"/>
                  <w:vMerge w:val="continue"/>
                  <w:vAlign w:val="center"/>
                </w:tcPr>
                <w:p>
                  <w:pPr>
                    <w:rPr>
                      <w:rFonts w:ascii="Times New Roman" w:hAnsi="Times New Roman"/>
                      <w:color w:val="000000" w:themeColor="text1"/>
                      <w:kern w:val="0"/>
                      <w:szCs w:val="21"/>
                      <w14:textFill>
                        <w14:solidFill>
                          <w14:schemeClr w14:val="tx1"/>
                        </w14:solidFill>
                      </w14:textFill>
                    </w:rPr>
                  </w:pPr>
                </w:p>
              </w:tc>
              <w:tc>
                <w:tcPr>
                  <w:tcW w:w="740" w:type="pct"/>
                  <w:vMerge w:val="continue"/>
                  <w:vAlign w:val="center"/>
                </w:tcPr>
                <w:p>
                  <w:pPr>
                    <w:rPr>
                      <w:rFonts w:ascii="Times New Roman" w:hAnsi="Times New Roman"/>
                      <w:color w:val="000000" w:themeColor="text1"/>
                      <w:kern w:val="0"/>
                      <w:szCs w:val="21"/>
                      <w14:textFill>
                        <w14:solidFill>
                          <w14:schemeClr w14:val="tx1"/>
                        </w14:solidFill>
                      </w14:textFill>
                    </w:rPr>
                  </w:pPr>
                </w:p>
              </w:tc>
              <w:tc>
                <w:tcPr>
                  <w:tcW w:w="678" w:type="pct"/>
                  <w:vAlign w:val="center"/>
                </w:tcPr>
                <w:p>
                  <w:pPr>
                    <w:spacing w:line="240" w:lineRule="exac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环境准入负面清单</w:t>
                  </w:r>
                </w:p>
              </w:tc>
              <w:tc>
                <w:tcPr>
                  <w:tcW w:w="2737" w:type="pct"/>
                  <w:vAlign w:val="center"/>
                </w:tcPr>
                <w:p>
                  <w:pPr>
                    <w:ind w:firstLine="420" w:firstLineChars="20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根据关于印发《陕西省国家重点生态功能区产业准入负面清单(试行)》（陕发改规划[2018]213号）的通知》，本项目不在其之列。</w:t>
                  </w:r>
                </w:p>
              </w:tc>
              <w:tc>
                <w:tcPr>
                  <w:tcW w:w="449" w:type="pct"/>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符合</w:t>
                  </w:r>
                </w:p>
              </w:tc>
            </w:tr>
          </w:tbl>
          <w:p>
            <w:pPr>
              <w:autoSpaceDE w:val="0"/>
              <w:autoSpaceDN w:val="0"/>
              <w:adjustRightInd w:val="0"/>
              <w:snapToGrid w:val="0"/>
              <w:rPr>
                <w:rFonts w:hint="default" w:cs="Times New Roman"/>
                <w:color w:val="000000" w:themeColor="text1"/>
                <w:kern w:val="0"/>
                <w:sz w:val="24"/>
                <w:szCs w:val="24"/>
                <w:lang w:val="en-US" w:eastAsia="zh-CN"/>
                <w14:textFill>
                  <w14:solidFill>
                    <w14:schemeClr w14:val="tx1"/>
                  </w14:solidFill>
                </w14:textFill>
              </w:rPr>
            </w:pPr>
          </w:p>
        </w:tc>
      </w:tr>
    </w:tbl>
    <w:p>
      <w:pPr>
        <w:spacing w:line="360" w:lineRule="auto"/>
        <w:outlineLvl w:val="0"/>
        <w:rPr>
          <w:rFonts w:eastAsia="黑体"/>
          <w:color w:val="000000" w:themeColor="text1"/>
          <w:sz w:val="30"/>
          <w14:textFill>
            <w14:solidFill>
              <w14:schemeClr w14:val="tx1"/>
            </w14:solidFill>
          </w14:textFill>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15"/>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二、建设内容</w:t>
      </w:r>
    </w:p>
    <w:tbl>
      <w:tblPr>
        <w:tblStyle w:val="18"/>
        <w:tblW w:w="90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84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710" w:type="dxa"/>
            <w:noWrap w:val="0"/>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地理位置</w:t>
            </w:r>
          </w:p>
        </w:tc>
        <w:tc>
          <w:tcPr>
            <w:tcW w:w="838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cs="宋体"/>
                <w:color w:val="000000" w:themeColor="text1"/>
                <w:kern w:val="0"/>
                <w:szCs w:val="21"/>
                <w:lang w:val="en-US"/>
                <w14:textFill>
                  <w14:solidFill>
                    <w14:schemeClr w14:val="tx1"/>
                  </w14:solidFill>
                </w14:textFill>
              </w:rPr>
            </w:pPr>
            <w:r>
              <w:rPr>
                <w:rFonts w:hint="eastAsia" w:cs="Times New Roman"/>
                <w:color w:val="000000" w:themeColor="text1"/>
                <w:kern w:val="0"/>
                <w:sz w:val="24"/>
                <w:szCs w:val="24"/>
                <w:lang w:val="en-US" w:eastAsia="zh-CN"/>
                <w14:textFill>
                  <w14:solidFill>
                    <w14:schemeClr w14:val="tx1"/>
                  </w14:solidFill>
                </w14:textFill>
              </w:rPr>
              <w:t>陕西省渭南市澄城县王庄20MW分散式风电场位于陕西省澄城县王庄镇，风电场区域东经</w:t>
            </w:r>
            <w:r>
              <w:rPr>
                <w:rFonts w:hint="default" w:ascii="Times New Roman" w:hAnsi="Times New Roman" w:cs="Times New Roman"/>
                <w:color w:val="000000" w:themeColor="text1"/>
                <w:kern w:val="0"/>
                <w:sz w:val="24"/>
                <w:szCs w:val="24"/>
                <w:lang w:val="en-US" w:eastAsia="zh-CN"/>
                <w14:textFill>
                  <w14:solidFill>
                    <w14:schemeClr w14:val="tx1"/>
                  </w14:solidFill>
                </w14:textFill>
              </w:rPr>
              <w:t>109°48'36"E～109°54'5"E</w:t>
            </w:r>
            <w:r>
              <w:rPr>
                <w:rFonts w:hint="eastAsia" w:cs="Times New Roman"/>
                <w:color w:val="000000" w:themeColor="text1"/>
                <w:kern w:val="0"/>
                <w:sz w:val="24"/>
                <w:szCs w:val="24"/>
                <w:lang w:val="en-US" w:eastAsia="zh-CN"/>
                <w14:textFill>
                  <w14:solidFill>
                    <w14:schemeClr w14:val="tx1"/>
                  </w14:solidFill>
                </w14:textFill>
              </w:rPr>
              <w:t>，北纬</w:t>
            </w:r>
            <w:r>
              <w:rPr>
                <w:rFonts w:hint="default" w:ascii="Times New Roman" w:hAnsi="Times New Roman" w:cs="Times New Roman"/>
                <w:color w:val="000000" w:themeColor="text1"/>
                <w:kern w:val="0"/>
                <w:sz w:val="24"/>
                <w:szCs w:val="24"/>
                <w:lang w:val="en-US" w:eastAsia="zh-CN"/>
                <w14:textFill>
                  <w14:solidFill>
                    <w14:schemeClr w14:val="tx1"/>
                  </w14:solidFill>
                </w14:textFill>
              </w:rPr>
              <w:t>35°13'48"N～35°57'5"N</w:t>
            </w:r>
            <w:r>
              <w:rPr>
                <w:rFonts w:hint="eastAsia" w:cs="Times New Roman"/>
                <w:color w:val="000000" w:themeColor="text1"/>
                <w:kern w:val="0"/>
                <w:sz w:val="24"/>
                <w:szCs w:val="24"/>
                <w:lang w:val="en-US" w:eastAsia="zh-CN"/>
                <w14:textFill>
                  <w14:solidFill>
                    <w14:schemeClr w14:val="tx1"/>
                  </w14:solidFill>
                </w14:textFill>
              </w:rPr>
              <w:t>，东西跨度最长约9.0km，南北跨度约7.0km。场址区海拔高度在715m～818m之间，场区内为平原地形，整体起伏很小。项目规划区整体交通条件较好，规划区北边界有菏宝高速通过，其东部县道X211，中部省道S202自西北向东南从风场穿过，场内有乡道和村村通道若干条，道路交通发达。本项目地理位置及交通见附图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10" w:type="dxa"/>
            <w:noWrap w:val="0"/>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项目组成及规模</w:t>
            </w:r>
          </w:p>
        </w:tc>
        <w:tc>
          <w:tcPr>
            <w:tcW w:w="838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cs="Times New Roman"/>
                <w:color w:val="FF0000"/>
                <w:kern w:val="0"/>
                <w:sz w:val="24"/>
                <w:szCs w:val="24"/>
                <w:lang w:val="en-US" w:eastAsia="zh-CN"/>
              </w:rPr>
            </w:pPr>
            <w:r>
              <w:rPr>
                <w:rFonts w:hint="eastAsia" w:cs="Times New Roman"/>
                <w:color w:val="FF0000"/>
                <w:kern w:val="0"/>
                <w:sz w:val="24"/>
                <w:szCs w:val="24"/>
                <w:lang w:val="en-US" w:eastAsia="zh-CN"/>
              </w:rPr>
              <w:t>本次评价内容不包括外输线路评价，外输线路评价另行环评。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lang w:val="en-US" w:eastAsia="zh-CN"/>
                <w14:textFill>
                  <w14:solidFill>
                    <w14:schemeClr w14:val="tx1"/>
                  </w14:solidFill>
                </w14:textFill>
              </w:rPr>
              <w:t>1、</w:t>
            </w:r>
            <w:r>
              <w:rPr>
                <w:rFonts w:ascii="Times New Roman" w:hAnsi="Times New Roman"/>
                <w:b/>
                <w:bCs/>
                <w:color w:val="000000" w:themeColor="text1"/>
                <w:sz w:val="24"/>
                <w14:textFill>
                  <w14:solidFill>
                    <w14:schemeClr w14:val="tx1"/>
                  </w14:solidFill>
                </w14:textFill>
              </w:rPr>
              <w:t>风电场范围及风机布置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1.1</w:t>
            </w:r>
            <w:r>
              <w:rPr>
                <w:rFonts w:ascii="Times New Roman" w:hAnsi="Times New Roman"/>
                <w:color w:val="000000" w:themeColor="text1"/>
                <w:sz w:val="24"/>
                <w14:textFill>
                  <w14:solidFill>
                    <w14:schemeClr w14:val="tx1"/>
                  </w14:solidFill>
                </w14:textFill>
              </w:rPr>
              <w:t>风场范围</w:t>
            </w:r>
          </w:p>
          <w:p>
            <w:pPr>
              <w:spacing w:line="360" w:lineRule="auto"/>
              <w:ind w:firstLine="480" w:firstLineChars="200"/>
              <w:jc w:val="left"/>
              <w:rPr>
                <w:rFonts w:ascii="Times New Roman" w:hAnsi="Times New Roman"/>
                <w:color w:val="000000" w:themeColor="text1"/>
                <w:sz w:val="24"/>
                <w14:textFill>
                  <w14:solidFill>
                    <w14:schemeClr w14:val="tx1"/>
                  </w14:solidFill>
                </w14:textFill>
              </w:rPr>
            </w:pPr>
            <w:bookmarkStart w:id="3" w:name="_Hlk58320059"/>
            <w:r>
              <w:rPr>
                <w:rFonts w:ascii="Times New Roman" w:hAnsi="Times New Roman"/>
                <w:color w:val="000000" w:themeColor="text1"/>
                <w:sz w:val="24"/>
                <w14:textFill>
                  <w14:solidFill>
                    <w14:schemeClr w14:val="tx1"/>
                  </w14:solidFill>
                </w14:textFill>
              </w:rPr>
              <w:t>风电场范围面积</w:t>
            </w:r>
            <w:r>
              <w:rPr>
                <w:rFonts w:hint="eastAsia"/>
                <w:color w:val="000000" w:themeColor="text1"/>
                <w:sz w:val="24"/>
                <w:lang w:val="en-US" w:eastAsia="zh-CN"/>
                <w14:textFill>
                  <w14:solidFill>
                    <w14:schemeClr w14:val="tx1"/>
                  </w14:solidFill>
                </w14:textFill>
              </w:rPr>
              <w:t>37.49</w:t>
            </w:r>
            <w:r>
              <w:rPr>
                <w:rFonts w:ascii="Times New Roman" w:hAnsi="Times New Roman"/>
                <w:color w:val="000000" w:themeColor="text1"/>
                <w:sz w:val="24"/>
                <w14:textFill>
                  <w14:solidFill>
                    <w14:schemeClr w14:val="tx1"/>
                  </w14:solidFill>
                </w14:textFill>
              </w:rPr>
              <w:t>km</w:t>
            </w:r>
            <w:r>
              <w:rPr>
                <w:rFonts w:ascii="Times New Roman" w:hAnsi="Times New Roman"/>
                <w:color w:val="000000" w:themeColor="text1"/>
                <w:sz w:val="24"/>
                <w:vertAlign w:val="super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w:t>
            </w:r>
            <w:bookmarkEnd w:id="3"/>
            <w:r>
              <w:rPr>
                <w:rFonts w:ascii="Times New Roman" w:hAnsi="Times New Roman"/>
                <w:color w:val="000000" w:themeColor="text1"/>
                <w:sz w:val="24"/>
                <w14:textFill>
                  <w14:solidFill>
                    <w14:schemeClr w14:val="tx1"/>
                  </w14:solidFill>
                </w14:textFill>
              </w:rPr>
              <w:t>由</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个拐点组成，拐点坐标见表</w:t>
            </w:r>
            <w:r>
              <w:rPr>
                <w:rFonts w:ascii="Times New Roman" w:hAnsi="Times New Roman" w:eastAsia="Times New Roman"/>
                <w:color w:val="000000" w:themeColor="text1"/>
                <w:sz w:val="24"/>
                <w14:textFill>
                  <w14:solidFill>
                    <w14:schemeClr w14:val="tx1"/>
                  </w14:solidFill>
                </w14:textFill>
              </w:rPr>
              <w:t>1-</w:t>
            </w:r>
            <w:r>
              <w:rPr>
                <w:rFonts w:ascii="Times New Roman" w:hAnsi="Times New Roman"/>
                <w:color w:val="000000" w:themeColor="text1"/>
                <w:sz w:val="24"/>
                <w14:textFill>
                  <w14:solidFill>
                    <w14:schemeClr w14:val="tx1"/>
                  </w14:solidFill>
                </w14:textFill>
              </w:rPr>
              <w:t>2。</w:t>
            </w:r>
          </w:p>
          <w:p>
            <w:pPr>
              <w:pStyle w:val="40"/>
              <w:ind w:firstLine="480" w:firstLineChars="200"/>
              <w:jc w:val="center"/>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表1-2  风场范围坐标</w:t>
            </w:r>
          </w:p>
          <w:tbl>
            <w:tblPr>
              <w:tblStyle w:val="19"/>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3333"/>
              <w:gridCol w:w="33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 w:type="pct"/>
                  <w:tcBorders>
                    <w:tl2br w:val="nil"/>
                    <w:tr2bl w:val="nil"/>
                  </w:tcBorders>
                  <w:vAlign w:val="center"/>
                </w:tcPr>
                <w:p>
                  <w:pPr>
                    <w:jc w:val="center"/>
                    <w:rPr>
                      <w:rFonts w:ascii="Times New Roman" w:hAnsi="Times New Roman" w:eastAsia="Times New Roman"/>
                      <w:color w:val="000000" w:themeColor="text1"/>
                      <w:szCs w:val="21"/>
                      <w14:textFill>
                        <w14:solidFill>
                          <w14:schemeClr w14:val="tx1"/>
                        </w14:solidFill>
                      </w14:textFill>
                    </w:rPr>
                  </w:pPr>
                  <w:r>
                    <w:rPr>
                      <w:rFonts w:ascii="Times New Roman" w:hAnsi="Times New Roman" w:eastAsia="Times New Roman"/>
                      <w:color w:val="000000" w:themeColor="text1"/>
                      <w:szCs w:val="21"/>
                      <w14:textFill>
                        <w14:solidFill>
                          <w14:schemeClr w14:val="tx1"/>
                        </w14:solidFill>
                      </w14:textFill>
                    </w:rPr>
                    <w:t>拐点编号</w:t>
                  </w:r>
                </w:p>
              </w:tc>
              <w:tc>
                <w:tcPr>
                  <w:tcW w:w="2041" w:type="pct"/>
                  <w:tcBorders>
                    <w:tl2br w:val="nil"/>
                    <w:tr2bl w:val="nil"/>
                  </w:tcBorders>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经度</w:t>
                  </w:r>
                </w:p>
              </w:tc>
              <w:tc>
                <w:tcPr>
                  <w:tcW w:w="2061" w:type="pct"/>
                  <w:tcBorders>
                    <w:tl2br w:val="nil"/>
                    <w:tr2bl w:val="nil"/>
                  </w:tcBorders>
                  <w:vAlign w:val="center"/>
                </w:tcPr>
                <w:p>
                  <w:pPr>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纬度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6" w:type="pct"/>
                  <w:tcBorders>
                    <w:tl2br w:val="nil"/>
                    <w:tr2bl w:val="nil"/>
                  </w:tcBorders>
                </w:tcPr>
                <w:p>
                  <w:pPr>
                    <w:jc w:val="center"/>
                    <w:rPr>
                      <w:rFonts w:ascii="Times New Roman" w:hAnsi="Times New Roman" w:eastAsia="Times New Roman"/>
                      <w:color w:val="000000" w:themeColor="text1"/>
                      <w:szCs w:val="21"/>
                      <w14:textFill>
                        <w14:solidFill>
                          <w14:schemeClr w14:val="tx1"/>
                        </w14:solidFill>
                      </w14:textFill>
                    </w:rPr>
                  </w:pPr>
                  <w:r>
                    <w:rPr>
                      <w:rFonts w:ascii="Times New Roman" w:hAnsi="Times New Roman" w:eastAsia="Times New Roman"/>
                      <w:color w:val="000000" w:themeColor="text1"/>
                      <w:szCs w:val="21"/>
                      <w14:textFill>
                        <w14:solidFill>
                          <w14:schemeClr w14:val="tx1"/>
                        </w14:solidFill>
                      </w14:textFill>
                    </w:rPr>
                    <w:t>1</w:t>
                  </w:r>
                </w:p>
              </w:tc>
              <w:tc>
                <w:tcPr>
                  <w:tcW w:w="2041" w:type="pct"/>
                  <w:tcBorders>
                    <w:tl2br w:val="nil"/>
                    <w:tr2bl w:val="nil"/>
                  </w:tcBorders>
                  <w:vAlign w:val="center"/>
                </w:tcPr>
                <w:p>
                  <w:pPr>
                    <w:keepNext w:val="0"/>
                    <w:keepLines w:val="0"/>
                    <w:widowControl/>
                    <w:suppressLineNumbers w:val="0"/>
                    <w:jc w:val="center"/>
                    <w:textAlignment w:val="center"/>
                    <w:rPr>
                      <w:rFonts w:ascii="Times New Roman" w:hAnsi="Times New Roman" w:eastAsia="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109°50′31.66001″</w:t>
                  </w:r>
                </w:p>
              </w:tc>
              <w:tc>
                <w:tcPr>
                  <w:tcW w:w="2061" w:type="pct"/>
                  <w:tcBorders>
                    <w:tl2br w:val="nil"/>
                    <w:tr2bl w:val="nil"/>
                  </w:tcBorders>
                  <w:vAlign w:val="center"/>
                </w:tcPr>
                <w:p>
                  <w:pPr>
                    <w:keepNext w:val="0"/>
                    <w:keepLines w:val="0"/>
                    <w:widowControl/>
                    <w:suppressLineNumbers w:val="0"/>
                    <w:jc w:val="center"/>
                    <w:textAlignment w:val="center"/>
                    <w:rPr>
                      <w:rFonts w:ascii="Times New Roman" w:hAnsi="Times New Roman" w:eastAsia="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35°17′32.87000″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6" w:type="pct"/>
                  <w:tcBorders>
                    <w:tl2br w:val="nil"/>
                    <w:tr2bl w:val="nil"/>
                  </w:tcBorders>
                </w:tcPr>
                <w:p>
                  <w:pPr>
                    <w:jc w:val="center"/>
                    <w:rPr>
                      <w:rFonts w:ascii="Times New Roman" w:hAnsi="Times New Roman" w:eastAsia="Times New Roman"/>
                      <w:color w:val="000000" w:themeColor="text1"/>
                      <w:szCs w:val="21"/>
                      <w14:textFill>
                        <w14:solidFill>
                          <w14:schemeClr w14:val="tx1"/>
                        </w14:solidFill>
                      </w14:textFill>
                    </w:rPr>
                  </w:pPr>
                  <w:r>
                    <w:rPr>
                      <w:rFonts w:ascii="Times New Roman" w:hAnsi="Times New Roman" w:eastAsia="Times New Roman"/>
                      <w:color w:val="000000" w:themeColor="text1"/>
                      <w:szCs w:val="21"/>
                      <w14:textFill>
                        <w14:solidFill>
                          <w14:schemeClr w14:val="tx1"/>
                        </w14:solidFill>
                      </w14:textFill>
                    </w:rPr>
                    <w:t>2</w:t>
                  </w:r>
                </w:p>
              </w:tc>
              <w:tc>
                <w:tcPr>
                  <w:tcW w:w="2041" w:type="pct"/>
                  <w:tcBorders>
                    <w:tl2br w:val="nil"/>
                    <w:tr2bl w:val="nil"/>
                  </w:tcBorders>
                  <w:vAlign w:val="center"/>
                </w:tcPr>
                <w:p>
                  <w:pPr>
                    <w:keepNext w:val="0"/>
                    <w:keepLines w:val="0"/>
                    <w:widowControl/>
                    <w:suppressLineNumbers w:val="0"/>
                    <w:jc w:val="center"/>
                    <w:textAlignment w:val="center"/>
                    <w:rPr>
                      <w:rFonts w:ascii="Times New Roman" w:hAnsi="Times New Roman" w:eastAsia="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109°53′28.34405″</w:t>
                  </w:r>
                </w:p>
              </w:tc>
              <w:tc>
                <w:tcPr>
                  <w:tcW w:w="2061" w:type="pct"/>
                  <w:tcBorders>
                    <w:tl2br w:val="nil"/>
                    <w:tr2bl w:val="nil"/>
                  </w:tcBorders>
                  <w:vAlign w:val="center"/>
                </w:tcPr>
                <w:p>
                  <w:pPr>
                    <w:keepNext w:val="0"/>
                    <w:keepLines w:val="0"/>
                    <w:widowControl/>
                    <w:suppressLineNumbers w:val="0"/>
                    <w:jc w:val="center"/>
                    <w:textAlignment w:val="center"/>
                    <w:rPr>
                      <w:rFonts w:ascii="Times New Roman" w:hAnsi="Times New Roman" w:eastAsia="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35°17′8.11414″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6" w:type="pct"/>
                  <w:tcBorders>
                    <w:tl2br w:val="nil"/>
                    <w:tr2bl w:val="nil"/>
                  </w:tcBorders>
                </w:tcPr>
                <w:p>
                  <w:pPr>
                    <w:jc w:val="center"/>
                    <w:rPr>
                      <w:rFonts w:ascii="Times New Roman" w:hAnsi="Times New Roman" w:eastAsia="Times New Roman"/>
                      <w:color w:val="000000" w:themeColor="text1"/>
                      <w:szCs w:val="21"/>
                      <w14:textFill>
                        <w14:solidFill>
                          <w14:schemeClr w14:val="tx1"/>
                        </w14:solidFill>
                      </w14:textFill>
                    </w:rPr>
                  </w:pPr>
                  <w:r>
                    <w:rPr>
                      <w:rFonts w:ascii="Times New Roman" w:hAnsi="Times New Roman" w:eastAsia="Times New Roman"/>
                      <w:color w:val="000000" w:themeColor="text1"/>
                      <w:szCs w:val="21"/>
                      <w14:textFill>
                        <w14:solidFill>
                          <w14:schemeClr w14:val="tx1"/>
                        </w14:solidFill>
                      </w14:textFill>
                    </w:rPr>
                    <w:t>3</w:t>
                  </w:r>
                </w:p>
              </w:tc>
              <w:tc>
                <w:tcPr>
                  <w:tcW w:w="2041" w:type="pct"/>
                  <w:tcBorders>
                    <w:tl2br w:val="nil"/>
                    <w:tr2bl w:val="nil"/>
                  </w:tcBorders>
                  <w:vAlign w:val="center"/>
                </w:tcPr>
                <w:p>
                  <w:pPr>
                    <w:keepNext w:val="0"/>
                    <w:keepLines w:val="0"/>
                    <w:widowControl/>
                    <w:suppressLineNumbers w:val="0"/>
                    <w:jc w:val="center"/>
                    <w:textAlignment w:val="center"/>
                    <w:rPr>
                      <w:rFonts w:ascii="Times New Roman" w:hAnsi="Times New Roman" w:eastAsia="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109°53′1.61311″</w:t>
                  </w:r>
                </w:p>
              </w:tc>
              <w:tc>
                <w:tcPr>
                  <w:tcW w:w="2061" w:type="pct"/>
                  <w:tcBorders>
                    <w:tl2br w:val="nil"/>
                    <w:tr2bl w:val="nil"/>
                  </w:tcBorders>
                  <w:vAlign w:val="center"/>
                </w:tcPr>
                <w:p>
                  <w:pPr>
                    <w:keepNext w:val="0"/>
                    <w:keepLines w:val="0"/>
                    <w:widowControl/>
                    <w:suppressLineNumbers w:val="0"/>
                    <w:jc w:val="center"/>
                    <w:textAlignment w:val="center"/>
                    <w:rPr>
                      <w:rFonts w:ascii="Times New Roman" w:hAnsi="Times New Roman" w:eastAsia="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35°14′2.07967″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6" w:type="pct"/>
                  <w:tcBorders>
                    <w:tl2br w:val="nil"/>
                    <w:tr2bl w:val="nil"/>
                  </w:tcBorders>
                </w:tcPr>
                <w:p>
                  <w:pPr>
                    <w:jc w:val="center"/>
                    <w:rPr>
                      <w:rFonts w:ascii="Times New Roman" w:hAnsi="Times New Roman" w:eastAsia="Times New Roman"/>
                      <w:color w:val="000000" w:themeColor="text1"/>
                      <w:szCs w:val="21"/>
                      <w14:textFill>
                        <w14:solidFill>
                          <w14:schemeClr w14:val="tx1"/>
                        </w14:solidFill>
                      </w14:textFill>
                    </w:rPr>
                  </w:pPr>
                  <w:r>
                    <w:rPr>
                      <w:rFonts w:ascii="Times New Roman" w:hAnsi="Times New Roman" w:eastAsia="Times New Roman"/>
                      <w:color w:val="000000" w:themeColor="text1"/>
                      <w:szCs w:val="21"/>
                      <w14:textFill>
                        <w14:solidFill>
                          <w14:schemeClr w14:val="tx1"/>
                        </w14:solidFill>
                      </w14:textFill>
                    </w:rPr>
                    <w:t>4</w:t>
                  </w:r>
                </w:p>
              </w:tc>
              <w:tc>
                <w:tcPr>
                  <w:tcW w:w="2041" w:type="pct"/>
                  <w:tcBorders>
                    <w:tl2br w:val="nil"/>
                    <w:tr2bl w:val="nil"/>
                  </w:tcBorders>
                  <w:vAlign w:val="center"/>
                </w:tcPr>
                <w:p>
                  <w:pPr>
                    <w:keepNext w:val="0"/>
                    <w:keepLines w:val="0"/>
                    <w:widowControl/>
                    <w:suppressLineNumbers w:val="0"/>
                    <w:jc w:val="center"/>
                    <w:textAlignment w:val="center"/>
                    <w:rPr>
                      <w:rFonts w:ascii="Times New Roman" w:hAnsi="Times New Roman" w:eastAsia="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109°49′14.37636″</w:t>
                  </w:r>
                </w:p>
              </w:tc>
              <w:tc>
                <w:tcPr>
                  <w:tcW w:w="2061" w:type="pct"/>
                  <w:tcBorders>
                    <w:tl2br w:val="nil"/>
                    <w:tr2bl w:val="nil"/>
                  </w:tcBorders>
                  <w:vAlign w:val="center"/>
                </w:tcPr>
                <w:p>
                  <w:pPr>
                    <w:keepNext w:val="0"/>
                    <w:keepLines w:val="0"/>
                    <w:widowControl/>
                    <w:suppressLineNumbers w:val="0"/>
                    <w:jc w:val="center"/>
                    <w:textAlignment w:val="center"/>
                    <w:rPr>
                      <w:rFonts w:ascii="Times New Roman" w:hAnsi="Times New Roman" w:eastAsia="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35°15′52.27243″</w:t>
                  </w:r>
                </w:p>
              </w:tc>
            </w:tr>
          </w:tbl>
          <w:p>
            <w:pPr>
              <w:spacing w:line="360" w:lineRule="auto"/>
              <w:ind w:firstLine="480" w:firstLineChars="200"/>
              <w:jc w:val="left"/>
              <w:rPr>
                <w:rFonts w:ascii="Times New Roman" w:hAnsi="Times New Roman" w:eastAsia="Times New Roman"/>
                <w:color w:val="000000" w:themeColor="text1"/>
                <w:sz w:val="24"/>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1.2</w:t>
            </w:r>
            <w:r>
              <w:rPr>
                <w:rFonts w:ascii="Times New Roman" w:hAnsi="Times New Roman" w:eastAsia="Times New Roman"/>
                <w:color w:val="000000" w:themeColor="text1"/>
                <w:sz w:val="24"/>
                <w14:textFill>
                  <w14:solidFill>
                    <w14:schemeClr w14:val="tx1"/>
                  </w14:solidFill>
                </w14:textFill>
              </w:rPr>
              <w:t>风机</w:t>
            </w:r>
            <w:r>
              <w:rPr>
                <w:rFonts w:hint="eastAsia" w:eastAsia="宋体"/>
                <w:color w:val="000000" w:themeColor="text1"/>
                <w:sz w:val="24"/>
                <w:lang w:val="en-US" w:eastAsia="zh-CN"/>
                <w14:textFill>
                  <w14:solidFill>
                    <w14:schemeClr w14:val="tx1"/>
                  </w14:solidFill>
                </w14:textFill>
              </w:rPr>
              <w:t>和</w:t>
            </w:r>
            <w:r>
              <w:rPr>
                <w:rFonts w:hint="eastAsia"/>
                <w:color w:val="000000" w:themeColor="text1"/>
                <w:sz w:val="24"/>
                <w:lang w:val="en-US" w:eastAsia="zh-CN"/>
                <w14:textFill>
                  <w14:solidFill>
                    <w14:schemeClr w14:val="tx1"/>
                  </w14:solidFill>
                </w14:textFill>
              </w:rPr>
              <w:t>开关站</w:t>
            </w:r>
            <w:r>
              <w:rPr>
                <w:rFonts w:ascii="Times New Roman" w:hAnsi="Times New Roman" w:eastAsia="Times New Roman"/>
                <w:color w:val="000000" w:themeColor="text1"/>
                <w:sz w:val="24"/>
                <w14:textFill>
                  <w14:solidFill>
                    <w14:schemeClr w14:val="tx1"/>
                  </w14:solidFill>
                </w14:textFill>
              </w:rPr>
              <w:t>布置情况</w:t>
            </w:r>
          </w:p>
          <w:p>
            <w:pPr>
              <w:spacing w:line="360" w:lineRule="auto"/>
              <w:ind w:firstLine="480" w:firstLineChars="200"/>
              <w:jc w:val="left"/>
              <w:rPr>
                <w:rFonts w:hint="eastAsia" w:eastAsia="宋体"/>
                <w:color w:val="000000" w:themeColor="text1"/>
                <w:sz w:val="24"/>
                <w:lang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本项目</w:t>
            </w:r>
            <w:r>
              <w:rPr>
                <w:rFonts w:hint="eastAsia"/>
                <w:color w:val="000000" w:themeColor="text1"/>
                <w:sz w:val="24"/>
                <w:lang w:val="en-US" w:eastAsia="zh-CN"/>
                <w14:textFill>
                  <w14:solidFill>
                    <w14:schemeClr w14:val="tx1"/>
                  </w14:solidFill>
                </w14:textFill>
              </w:rPr>
              <w:t>新建8</w:t>
            </w:r>
            <w:r>
              <w:rPr>
                <w:rFonts w:ascii="Times New Roman" w:hAnsi="Times New Roman"/>
                <w:color w:val="000000" w:themeColor="text1"/>
                <w:sz w:val="24"/>
                <w14:textFill>
                  <w14:solidFill>
                    <w14:schemeClr w14:val="tx1"/>
                  </w14:solidFill>
                </w14:textFill>
              </w:rPr>
              <w:t>个风机机位，安装</w:t>
            </w:r>
            <w:r>
              <w:rPr>
                <w:rFonts w:hint="eastAsia"/>
                <w:color w:val="000000" w:themeColor="text1"/>
                <w:sz w:val="24"/>
                <w:lang w:val="en-US" w:eastAsia="zh-CN"/>
                <w14:textFill>
                  <w14:solidFill>
                    <w14:schemeClr w14:val="tx1"/>
                  </w14:solidFill>
                </w14:textFill>
              </w:rPr>
              <w:t>8</w:t>
            </w:r>
            <w:r>
              <w:rPr>
                <w:rFonts w:ascii="Times New Roman" w:hAnsi="Times New Roman"/>
                <w:color w:val="000000" w:themeColor="text1"/>
                <w:sz w:val="24"/>
                <w14:textFill>
                  <w14:solidFill>
                    <w14:schemeClr w14:val="tx1"/>
                  </w14:solidFill>
                </w14:textFill>
              </w:rPr>
              <w:t>台</w:t>
            </w:r>
            <w:r>
              <w:rPr>
                <w:rFonts w:ascii="Times New Roman" w:hAnsi="Times New Roman" w:eastAsia="Times New Roman"/>
                <w:color w:val="000000" w:themeColor="text1"/>
                <w:sz w:val="24"/>
                <w14:textFill>
                  <w14:solidFill>
                    <w14:schemeClr w14:val="tx1"/>
                  </w14:solidFill>
                </w14:textFill>
              </w:rPr>
              <w:t>2.5MW的W</w:t>
            </w:r>
            <w:r>
              <w:rPr>
                <w:rFonts w:hint="eastAsia"/>
                <w:color w:val="000000" w:themeColor="text1"/>
                <w:sz w:val="24"/>
                <w:lang w:val="en-US" w:eastAsia="zh-CN"/>
                <w14:textFill>
                  <w14:solidFill>
                    <w14:schemeClr w14:val="tx1"/>
                  </w14:solidFill>
                </w14:textFill>
              </w:rPr>
              <w:t>TG2-</w:t>
            </w:r>
            <w:r>
              <w:rPr>
                <w:rFonts w:ascii="Times New Roman" w:hAnsi="Times New Roman" w:eastAsia="Times New Roman"/>
                <w:color w:val="000000" w:themeColor="text1"/>
                <w:sz w:val="24"/>
                <w14:textFill>
                  <w14:solidFill>
                    <w14:schemeClr w14:val="tx1"/>
                  </w14:solidFill>
                </w14:textFill>
              </w:rPr>
              <w:t>14</w:t>
            </w:r>
            <w:r>
              <w:rPr>
                <w:rFonts w:hint="eastAsia" w:eastAsia="宋体"/>
                <w:color w:val="000000" w:themeColor="text1"/>
                <w:sz w:val="24"/>
                <w:lang w:val="en-US" w:eastAsia="zh-CN"/>
                <w14:textFill>
                  <w14:solidFill>
                    <w14:schemeClr w14:val="tx1"/>
                  </w14:solidFill>
                </w14:textFill>
              </w:rPr>
              <w:t>7/</w:t>
            </w:r>
            <w:r>
              <w:rPr>
                <w:rFonts w:ascii="Times New Roman" w:hAnsi="Times New Roman" w:eastAsia="Times New Roman"/>
                <w:color w:val="000000" w:themeColor="text1"/>
                <w:sz w:val="24"/>
                <w14:textFill>
                  <w14:solidFill>
                    <w14:schemeClr w14:val="tx1"/>
                  </w14:solidFill>
                </w14:textFill>
              </w:rPr>
              <w:t>2.5</w:t>
            </w:r>
            <w:r>
              <w:rPr>
                <w:rFonts w:hint="eastAsia" w:eastAsia="宋体"/>
                <w:color w:val="000000" w:themeColor="text1"/>
                <w:sz w:val="24"/>
                <w:lang w:val="en-US" w:eastAsia="zh-CN"/>
                <w14:textFill>
                  <w14:solidFill>
                    <w14:schemeClr w14:val="tx1"/>
                  </w14:solidFill>
                </w14:textFill>
              </w:rPr>
              <w:t>机</w:t>
            </w:r>
            <w:r>
              <w:rPr>
                <w:rFonts w:ascii="Times New Roman" w:hAnsi="Times New Roman" w:eastAsia="Times New Roman"/>
                <w:color w:val="000000" w:themeColor="text1"/>
                <w:sz w:val="24"/>
                <w14:textFill>
                  <w14:solidFill>
                    <w14:schemeClr w14:val="tx1"/>
                  </w14:solidFill>
                </w14:textFill>
              </w:rPr>
              <w:t>型风力发电机组，风机叶片直径14</w:t>
            </w:r>
            <w:r>
              <w:rPr>
                <w:rFonts w:hint="eastAsia" w:eastAsia="宋体"/>
                <w:color w:val="000000" w:themeColor="text1"/>
                <w:sz w:val="24"/>
                <w:lang w:val="en-US" w:eastAsia="zh-CN"/>
                <w14:textFill>
                  <w14:solidFill>
                    <w14:schemeClr w14:val="tx1"/>
                  </w14:solidFill>
                </w14:textFill>
              </w:rPr>
              <w:t>7</w:t>
            </w:r>
            <w:r>
              <w:rPr>
                <w:rFonts w:ascii="Times New Roman" w:hAnsi="Times New Roman" w:eastAsia="Times New Roman"/>
                <w:color w:val="000000" w:themeColor="text1"/>
                <w:sz w:val="24"/>
                <w14:textFill>
                  <w14:solidFill>
                    <w14:schemeClr w14:val="tx1"/>
                  </w14:solidFill>
                </w14:textFill>
              </w:rPr>
              <w:t>m，轮毂高度</w:t>
            </w:r>
            <w:r>
              <w:rPr>
                <w:rFonts w:hint="eastAsia" w:eastAsia="宋体"/>
                <w:color w:val="000000" w:themeColor="text1"/>
                <w:sz w:val="24"/>
                <w:lang w:val="en-US" w:eastAsia="zh-CN"/>
                <w14:textFill>
                  <w14:solidFill>
                    <w14:schemeClr w14:val="tx1"/>
                  </w14:solidFill>
                </w14:textFill>
              </w:rPr>
              <w:t>140</w:t>
            </w:r>
            <w:r>
              <w:rPr>
                <w:rFonts w:ascii="Times New Roman" w:hAnsi="Times New Roman" w:eastAsia="Times New Roman"/>
                <w:color w:val="000000" w:themeColor="text1"/>
                <w:sz w:val="24"/>
                <w14:textFill>
                  <w14:solidFill>
                    <w14:schemeClr w14:val="tx1"/>
                  </w14:solidFill>
                </w14:textFill>
              </w:rPr>
              <w:t>m。新建一座</w:t>
            </w:r>
            <w:r>
              <w:rPr>
                <w:rFonts w:hint="eastAsia" w:eastAsia="宋体"/>
                <w:color w:val="000000" w:themeColor="text1"/>
                <w:sz w:val="24"/>
                <w:lang w:val="en-US" w:eastAsia="zh-CN"/>
                <w14:textFill>
                  <w14:solidFill>
                    <w14:schemeClr w14:val="tx1"/>
                  </w14:solidFill>
                </w14:textFill>
              </w:rPr>
              <w:t>35</w:t>
            </w:r>
            <w:r>
              <w:rPr>
                <w:rFonts w:ascii="Times New Roman" w:hAnsi="Times New Roman" w:eastAsia="Times New Roman"/>
                <w:color w:val="000000" w:themeColor="text1"/>
                <w:sz w:val="24"/>
                <w14:textFill>
                  <w14:solidFill>
                    <w14:schemeClr w14:val="tx1"/>
                  </w14:solidFill>
                </w14:textFill>
              </w:rPr>
              <w:t>kV</w:t>
            </w:r>
            <w:r>
              <w:rPr>
                <w:rFonts w:hint="eastAsia" w:eastAsia="宋体"/>
                <w:color w:val="000000" w:themeColor="text1"/>
                <w:sz w:val="24"/>
                <w:lang w:val="en-US" w:eastAsia="zh-CN"/>
                <w14:textFill>
                  <w14:solidFill>
                    <w14:schemeClr w14:val="tx1"/>
                  </w14:solidFill>
                </w14:textFill>
              </w:rPr>
              <w:t>开关站</w:t>
            </w:r>
            <w:r>
              <w:rPr>
                <w:rFonts w:ascii="Times New Roman" w:hAnsi="Times New Roman" w:eastAsia="Times New Roman"/>
                <w:color w:val="000000" w:themeColor="text1"/>
                <w:sz w:val="24"/>
                <w14:textFill>
                  <w14:solidFill>
                    <w14:schemeClr w14:val="tx1"/>
                  </w14:solidFill>
                </w14:textFill>
              </w:rPr>
              <w:t>，</w:t>
            </w:r>
            <w:r>
              <w:rPr>
                <w:rFonts w:hint="eastAsia" w:ascii="Times New Roman" w:hAnsi="Times New Roman" w:eastAsia="Times New Roman"/>
                <w:color w:val="000000" w:themeColor="text1"/>
                <w:sz w:val="24"/>
                <w:lang w:val="en-US" w:eastAsia="zh-CN"/>
                <w14:textFill>
                  <w14:solidFill>
                    <w14:schemeClr w14:val="tx1"/>
                  </w14:solidFill>
                </w14:textFill>
              </w:rPr>
              <w:t>开关站拟以</w:t>
            </w:r>
            <w:r>
              <w:rPr>
                <w:rFonts w:ascii="Times New Roman" w:hAnsi="Times New Roman" w:eastAsia="Times New Roman"/>
                <w:color w:val="000000" w:themeColor="text1"/>
                <w:sz w:val="24"/>
                <w:lang w:val="en-US" w:eastAsia="zh-CN"/>
                <w14:textFill>
                  <w14:solidFill>
                    <w14:schemeClr w14:val="tx1"/>
                  </w14:solidFill>
                </w14:textFill>
              </w:rPr>
              <w:t>1</w:t>
            </w:r>
            <w:r>
              <w:rPr>
                <w:rFonts w:hint="eastAsia" w:ascii="Times New Roman" w:hAnsi="Times New Roman" w:eastAsia="Times New Roman"/>
                <w:color w:val="000000" w:themeColor="text1"/>
                <w:sz w:val="24"/>
                <w:lang w:val="en-US" w:eastAsia="zh-CN"/>
                <w14:textFill>
                  <w14:solidFill>
                    <w14:schemeClr w14:val="tx1"/>
                  </w14:solidFill>
                </w14:textFill>
              </w:rPr>
              <w:t>回</w:t>
            </w:r>
            <w:r>
              <w:rPr>
                <w:rFonts w:hint="default" w:ascii="Times New Roman" w:hAnsi="Times New Roman" w:eastAsia="Times New Roman"/>
                <w:color w:val="000000" w:themeColor="text1"/>
                <w:sz w:val="24"/>
                <w:lang w:val="en-US" w:eastAsia="zh-CN"/>
                <w14:textFill>
                  <w14:solidFill>
                    <w14:schemeClr w14:val="tx1"/>
                  </w14:solidFill>
                </w14:textFill>
              </w:rPr>
              <w:t>35kV</w:t>
            </w:r>
            <w:r>
              <w:rPr>
                <w:rFonts w:hint="eastAsia" w:ascii="Times New Roman" w:hAnsi="Times New Roman" w:eastAsia="Times New Roman"/>
                <w:color w:val="000000" w:themeColor="text1"/>
                <w:sz w:val="24"/>
                <w:lang w:val="en-US" w:eastAsia="zh-CN"/>
                <w14:textFill>
                  <w14:solidFill>
                    <w14:schemeClr w14:val="tx1"/>
                  </w14:solidFill>
                </w14:textFill>
              </w:rPr>
              <w:t>架空线路就近接入安里</w:t>
            </w:r>
            <w:r>
              <w:rPr>
                <w:rFonts w:hint="default" w:ascii="Times New Roman" w:hAnsi="Times New Roman" w:eastAsia="Times New Roman"/>
                <w:color w:val="000000" w:themeColor="text1"/>
                <w:sz w:val="24"/>
                <w:lang w:val="en-US" w:eastAsia="zh-CN"/>
                <w14:textFill>
                  <w14:solidFill>
                    <w14:schemeClr w14:val="tx1"/>
                  </w14:solidFill>
                </w14:textFill>
              </w:rPr>
              <w:t>110kV</w:t>
            </w:r>
            <w:r>
              <w:rPr>
                <w:rFonts w:hint="eastAsia" w:ascii="Times New Roman" w:hAnsi="Times New Roman" w:eastAsia="Times New Roman"/>
                <w:color w:val="000000" w:themeColor="text1"/>
                <w:sz w:val="24"/>
                <w:lang w:val="en-US" w:eastAsia="zh-CN"/>
                <w14:textFill>
                  <w14:solidFill>
                    <w14:schemeClr w14:val="tx1"/>
                  </w14:solidFill>
                </w14:textFill>
              </w:rPr>
              <w:t>变电站</w:t>
            </w:r>
            <w:r>
              <w:rPr>
                <w:rFonts w:hint="default" w:ascii="Times New Roman" w:hAnsi="Times New Roman" w:eastAsia="Times New Roman"/>
                <w:color w:val="000000" w:themeColor="text1"/>
                <w:sz w:val="24"/>
                <w:lang w:val="en-US" w:eastAsia="zh-CN"/>
                <w14:textFill>
                  <w14:solidFill>
                    <w14:schemeClr w14:val="tx1"/>
                  </w14:solidFill>
                </w14:textFill>
              </w:rPr>
              <w:t>35kV</w:t>
            </w:r>
            <w:r>
              <w:rPr>
                <w:rFonts w:hint="eastAsia" w:ascii="Times New Roman" w:hAnsi="Times New Roman" w:eastAsia="Times New Roman"/>
                <w:color w:val="000000" w:themeColor="text1"/>
                <w:sz w:val="24"/>
                <w:lang w:val="en-US" w:eastAsia="zh-CN"/>
                <w14:textFill>
                  <w14:solidFill>
                    <w14:schemeClr w14:val="tx1"/>
                  </w14:solidFill>
                </w14:textFill>
              </w:rPr>
              <w:t>侧</w:t>
            </w:r>
            <w:r>
              <w:rPr>
                <w:rFonts w:hint="eastAsia" w:eastAsia="宋体"/>
                <w:color w:val="000000" w:themeColor="text1"/>
                <w:sz w:val="24"/>
                <w:lang w:eastAsia="zh-CN"/>
                <w14:textFill>
                  <w14:solidFill>
                    <w14:schemeClr w14:val="tx1"/>
                  </w14:solidFill>
                </w14:textFill>
              </w:rPr>
              <w:t>。</w:t>
            </w:r>
          </w:p>
          <w:p>
            <w:pPr>
              <w:spacing w:line="360" w:lineRule="auto"/>
              <w:ind w:firstLine="480" w:firstLineChars="200"/>
              <w:jc w:val="left"/>
              <w:rPr>
                <w:rFonts w:ascii="Times New Roman" w:hAnsi="Times New Roman" w:eastAsia="Times New Roman"/>
                <w:color w:val="000000" w:themeColor="text1"/>
                <w:sz w:val="24"/>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本项目</w:t>
            </w:r>
            <w:r>
              <w:rPr>
                <w:rFonts w:ascii="Times New Roman" w:hAnsi="Times New Roman" w:eastAsia="Times New Roman"/>
                <w:color w:val="000000" w:themeColor="text1"/>
                <w:sz w:val="24"/>
                <w14:textFill>
                  <w14:solidFill>
                    <w14:schemeClr w14:val="tx1"/>
                  </w14:solidFill>
                </w14:textFill>
              </w:rPr>
              <w:t>风力发电单机</w:t>
            </w:r>
            <w:r>
              <w:rPr>
                <w:rFonts w:hint="eastAsia" w:eastAsia="宋体"/>
                <w:color w:val="000000" w:themeColor="text1"/>
                <w:sz w:val="24"/>
                <w:lang w:val="en-US" w:eastAsia="zh-CN"/>
                <w14:textFill>
                  <w14:solidFill>
                    <w14:schemeClr w14:val="tx1"/>
                  </w14:solidFill>
                </w14:textFill>
              </w:rPr>
              <w:t>坐标</w:t>
            </w:r>
            <w:r>
              <w:rPr>
                <w:rFonts w:ascii="Times New Roman" w:hAnsi="Times New Roman"/>
                <w:color w:val="000000" w:themeColor="text1"/>
                <w:sz w:val="24"/>
                <w14:textFill>
                  <w14:solidFill>
                    <w14:schemeClr w14:val="tx1"/>
                  </w14:solidFill>
                </w14:textFill>
              </w:rPr>
              <w:t>及</w:t>
            </w:r>
            <w:r>
              <w:rPr>
                <w:rFonts w:hint="eastAsia"/>
                <w:color w:val="000000" w:themeColor="text1"/>
                <w:sz w:val="24"/>
                <w:lang w:val="en-US" w:eastAsia="zh-CN"/>
                <w14:textFill>
                  <w14:solidFill>
                    <w14:schemeClr w14:val="tx1"/>
                  </w14:solidFill>
                </w14:textFill>
              </w:rPr>
              <w:t>35kV开关站拐点坐标</w:t>
            </w:r>
            <w:r>
              <w:rPr>
                <w:rFonts w:ascii="Times New Roman" w:hAnsi="Times New Roman" w:eastAsia="Times New Roman"/>
                <w:color w:val="000000" w:themeColor="text1"/>
                <w:sz w:val="24"/>
                <w14:textFill>
                  <w14:solidFill>
                    <w14:schemeClr w14:val="tx1"/>
                  </w14:solidFill>
                </w14:textFill>
              </w:rPr>
              <w:t>见表1-3。</w:t>
            </w:r>
            <w:r>
              <w:rPr>
                <w:rFonts w:ascii="Times New Roman" w:hAnsi="Times New Roman"/>
                <w:color w:val="000000" w:themeColor="text1"/>
                <w:sz w:val="24"/>
                <w14:textFill>
                  <w14:solidFill>
                    <w14:schemeClr w14:val="tx1"/>
                  </w14:solidFill>
                </w14:textFill>
              </w:rPr>
              <w:t>风场范围</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风机点位</w:t>
            </w:r>
            <w:r>
              <w:rPr>
                <w:rFonts w:hint="eastAsia"/>
                <w:color w:val="000000" w:themeColor="text1"/>
                <w:sz w:val="24"/>
                <w:lang w:val="en-US" w:eastAsia="zh-CN"/>
                <w14:textFill>
                  <w14:solidFill>
                    <w14:schemeClr w14:val="tx1"/>
                  </w14:solidFill>
                </w14:textFill>
              </w:rPr>
              <w:t>及开关站位置</w:t>
            </w:r>
            <w:r>
              <w:rPr>
                <w:rFonts w:ascii="Times New Roman" w:hAnsi="Times New Roman" w:eastAsia="Times New Roman"/>
                <w:color w:val="000000" w:themeColor="text1"/>
                <w:sz w:val="24"/>
                <w14:textFill>
                  <w14:solidFill>
                    <w14:schemeClr w14:val="tx1"/>
                  </w14:solidFill>
                </w14:textFill>
              </w:rPr>
              <w:t>见附图2。</w:t>
            </w:r>
          </w:p>
          <w:p>
            <w:pPr>
              <w:pStyle w:val="40"/>
              <w:ind w:firstLine="480" w:firstLineChars="200"/>
              <w:jc w:val="center"/>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表1-3 风机坐标一览表</w:t>
            </w:r>
          </w:p>
          <w:tbl>
            <w:tblPr>
              <w:tblStyle w:val="1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430"/>
              <w:gridCol w:w="2583"/>
              <w:gridCol w:w="29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724" w:type="pct"/>
                  <w:tcBorders>
                    <w:tl2br w:val="nil"/>
                    <w:tr2bl w:val="nil"/>
                  </w:tcBorders>
                </w:tcPr>
                <w:p>
                  <w:pPr>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序号</w:t>
                  </w:r>
                </w:p>
              </w:tc>
              <w:tc>
                <w:tcPr>
                  <w:tcW w:w="876" w:type="pct"/>
                  <w:tcBorders>
                    <w:tl2br w:val="nil"/>
                    <w:tr2bl w:val="nil"/>
                  </w:tcBorders>
                </w:tcPr>
                <w:p>
                  <w:pPr>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风机号</w:t>
                  </w:r>
                </w:p>
              </w:tc>
              <w:tc>
                <w:tcPr>
                  <w:tcW w:w="1582" w:type="pct"/>
                  <w:tcBorders>
                    <w:tl2br w:val="nil"/>
                    <w:tr2bl w:val="nil"/>
                  </w:tcBorders>
                </w:tcPr>
                <w:p>
                  <w:pPr>
                    <w:jc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经度</w:t>
                  </w:r>
                </w:p>
              </w:tc>
              <w:tc>
                <w:tcPr>
                  <w:tcW w:w="1816" w:type="pct"/>
                  <w:tcBorders>
                    <w:tl2br w:val="nil"/>
                    <w:tr2bl w:val="nil"/>
                  </w:tcBorders>
                </w:tcPr>
                <w:p>
                  <w:pPr>
                    <w:jc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纬度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724" w:type="pct"/>
                  <w:tcBorders>
                    <w:tl2br w:val="nil"/>
                    <w:tr2bl w:val="nil"/>
                  </w:tcBorders>
                </w:tcPr>
                <w:p>
                  <w:pPr>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p>
              </w:tc>
              <w:tc>
                <w:tcPr>
                  <w:tcW w:w="876" w:type="pct"/>
                  <w:tcBorders>
                    <w:tl2br w:val="nil"/>
                    <w:tr2bl w:val="nil"/>
                  </w:tcBorders>
                  <w:vAlign w:val="center"/>
                </w:tcPr>
                <w:p>
                  <w:pPr>
                    <w:widowControl/>
                    <w:jc w:val="center"/>
                    <w:textAlignment w:val="center"/>
                    <w:rPr>
                      <w:rFonts w:ascii="Times New Roman" w:hAnsi="Times New Roman" w:eastAsiaTheme="minorEastAsia"/>
                      <w:color w:val="000000" w:themeColor="text1"/>
                      <w:szCs w:val="21"/>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T</w:t>
                  </w:r>
                  <w:r>
                    <w:rPr>
                      <w:rFonts w:ascii="Times New Roman" w:hAnsi="Times New Roman"/>
                      <w:color w:val="000000" w:themeColor="text1"/>
                      <w:kern w:val="0"/>
                      <w:szCs w:val="21"/>
                      <w:lang w:bidi="ar"/>
                      <w14:textFill>
                        <w14:solidFill>
                          <w14:schemeClr w14:val="tx1"/>
                        </w14:solidFill>
                      </w14:textFill>
                    </w:rPr>
                    <w:t>1</w:t>
                  </w:r>
                </w:p>
              </w:tc>
              <w:tc>
                <w:tcPr>
                  <w:tcW w:w="158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109°50′21.75890″</w:t>
                  </w:r>
                </w:p>
              </w:tc>
              <w:tc>
                <w:tcPr>
                  <w:tcW w:w="181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35°15′21.58690″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tcBorders>
                    <w:tl2br w:val="nil"/>
                    <w:tr2bl w:val="nil"/>
                  </w:tcBorders>
                </w:tcPr>
                <w:p>
                  <w:pPr>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p>
              </w:tc>
              <w:tc>
                <w:tcPr>
                  <w:tcW w:w="876" w:type="pct"/>
                  <w:tcBorders>
                    <w:tl2br w:val="nil"/>
                    <w:tr2bl w:val="nil"/>
                  </w:tcBorders>
                  <w:vAlign w:val="center"/>
                </w:tcPr>
                <w:p>
                  <w:pPr>
                    <w:widowControl/>
                    <w:jc w:val="center"/>
                    <w:textAlignment w:val="center"/>
                    <w:rPr>
                      <w:rFonts w:ascii="Times New Roman" w:hAnsi="Times New Roman" w:eastAsiaTheme="minorEastAsia"/>
                      <w:color w:val="000000" w:themeColor="text1"/>
                      <w:szCs w:val="21"/>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T</w:t>
                  </w:r>
                  <w:r>
                    <w:rPr>
                      <w:rFonts w:ascii="Times New Roman" w:hAnsi="Times New Roman"/>
                      <w:color w:val="000000" w:themeColor="text1"/>
                      <w:kern w:val="0"/>
                      <w:szCs w:val="21"/>
                      <w:lang w:bidi="ar"/>
                      <w14:textFill>
                        <w14:solidFill>
                          <w14:schemeClr w14:val="tx1"/>
                        </w14:solidFill>
                      </w14:textFill>
                    </w:rPr>
                    <w:t>2</w:t>
                  </w:r>
                </w:p>
              </w:tc>
              <w:tc>
                <w:tcPr>
                  <w:tcW w:w="158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109°50′7.43045″</w:t>
                  </w:r>
                </w:p>
              </w:tc>
              <w:tc>
                <w:tcPr>
                  <w:tcW w:w="181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35°16′11.47750″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tcBorders>
                    <w:tl2br w:val="nil"/>
                    <w:tr2bl w:val="nil"/>
                  </w:tcBorders>
                </w:tcPr>
                <w:p>
                  <w:pPr>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p>
              </w:tc>
              <w:tc>
                <w:tcPr>
                  <w:tcW w:w="876" w:type="pct"/>
                  <w:tcBorders>
                    <w:tl2br w:val="nil"/>
                    <w:tr2bl w:val="nil"/>
                  </w:tcBorders>
                  <w:vAlign w:val="center"/>
                </w:tcPr>
                <w:p>
                  <w:pPr>
                    <w:widowControl/>
                    <w:jc w:val="center"/>
                    <w:textAlignment w:val="center"/>
                    <w:rPr>
                      <w:rFonts w:ascii="Times New Roman" w:hAnsi="Times New Roman"/>
                      <w:color w:val="000000" w:themeColor="text1"/>
                      <w:szCs w:val="21"/>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T</w:t>
                  </w:r>
                  <w:r>
                    <w:rPr>
                      <w:rFonts w:ascii="Times New Roman" w:hAnsi="Times New Roman"/>
                      <w:color w:val="000000" w:themeColor="text1"/>
                      <w:kern w:val="0"/>
                      <w:szCs w:val="21"/>
                      <w:lang w:bidi="ar"/>
                      <w14:textFill>
                        <w14:solidFill>
                          <w14:schemeClr w14:val="tx1"/>
                        </w14:solidFill>
                      </w14:textFill>
                    </w:rPr>
                    <w:t>3</w:t>
                  </w:r>
                </w:p>
              </w:tc>
              <w:tc>
                <w:tcPr>
                  <w:tcW w:w="158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109°53′14.87280″</w:t>
                  </w:r>
                </w:p>
              </w:tc>
              <w:tc>
                <w:tcPr>
                  <w:tcW w:w="181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35°16′13.40860″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tcBorders>
                    <w:tl2br w:val="nil"/>
                    <w:tr2bl w:val="nil"/>
                  </w:tcBorders>
                </w:tcPr>
                <w:p>
                  <w:pPr>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p>
              </w:tc>
              <w:tc>
                <w:tcPr>
                  <w:tcW w:w="876" w:type="pct"/>
                  <w:tcBorders>
                    <w:tl2br w:val="nil"/>
                    <w:tr2bl w:val="nil"/>
                  </w:tcBorders>
                  <w:vAlign w:val="center"/>
                </w:tcPr>
                <w:p>
                  <w:pPr>
                    <w:widowControl/>
                    <w:jc w:val="center"/>
                    <w:textAlignment w:val="center"/>
                    <w:rPr>
                      <w:rFonts w:ascii="Times New Roman" w:hAnsi="Times New Roman"/>
                      <w:color w:val="000000" w:themeColor="text1"/>
                      <w:szCs w:val="21"/>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T</w:t>
                  </w:r>
                  <w:r>
                    <w:rPr>
                      <w:rFonts w:ascii="Times New Roman" w:hAnsi="Times New Roman"/>
                      <w:color w:val="000000" w:themeColor="text1"/>
                      <w:kern w:val="0"/>
                      <w:szCs w:val="21"/>
                      <w:lang w:bidi="ar"/>
                      <w14:textFill>
                        <w14:solidFill>
                          <w14:schemeClr w14:val="tx1"/>
                        </w14:solidFill>
                      </w14:textFill>
                    </w:rPr>
                    <w:t>4</w:t>
                  </w:r>
                </w:p>
              </w:tc>
              <w:tc>
                <w:tcPr>
                  <w:tcW w:w="158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109°52′3.59384″</w:t>
                  </w:r>
                </w:p>
              </w:tc>
              <w:tc>
                <w:tcPr>
                  <w:tcW w:w="181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35°17′1.40351″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tcBorders>
                    <w:tl2br w:val="nil"/>
                    <w:tr2bl w:val="nil"/>
                  </w:tcBorders>
                </w:tcPr>
                <w:p>
                  <w:pPr>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w:t>
                  </w:r>
                </w:p>
              </w:tc>
              <w:tc>
                <w:tcPr>
                  <w:tcW w:w="876" w:type="pct"/>
                  <w:tcBorders>
                    <w:tl2br w:val="nil"/>
                    <w:tr2bl w:val="nil"/>
                  </w:tcBorders>
                  <w:vAlign w:val="center"/>
                </w:tcPr>
                <w:p>
                  <w:pPr>
                    <w:widowControl/>
                    <w:jc w:val="center"/>
                    <w:textAlignment w:val="center"/>
                    <w:rPr>
                      <w:rFonts w:ascii="Times New Roman" w:hAnsi="Times New Roman"/>
                      <w:color w:val="000000" w:themeColor="text1"/>
                      <w:szCs w:val="21"/>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T</w:t>
                  </w:r>
                  <w:r>
                    <w:rPr>
                      <w:rFonts w:ascii="Times New Roman" w:hAnsi="Times New Roman"/>
                      <w:color w:val="000000" w:themeColor="text1"/>
                      <w:kern w:val="0"/>
                      <w:szCs w:val="21"/>
                      <w:lang w:bidi="ar"/>
                      <w14:textFill>
                        <w14:solidFill>
                          <w14:schemeClr w14:val="tx1"/>
                        </w14:solidFill>
                      </w14:textFill>
                    </w:rPr>
                    <w:t>5</w:t>
                  </w:r>
                </w:p>
              </w:tc>
              <w:tc>
                <w:tcPr>
                  <w:tcW w:w="158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109°50′43.21010″</w:t>
                  </w:r>
                </w:p>
              </w:tc>
              <w:tc>
                <w:tcPr>
                  <w:tcW w:w="181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35°17′27.46000″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tcBorders>
                    <w:tl2br w:val="nil"/>
                    <w:tr2bl w:val="nil"/>
                  </w:tcBorders>
                </w:tcPr>
                <w:p>
                  <w:pPr>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w:t>
                  </w:r>
                </w:p>
              </w:tc>
              <w:tc>
                <w:tcPr>
                  <w:tcW w:w="876" w:type="pct"/>
                  <w:tcBorders>
                    <w:tl2br w:val="nil"/>
                    <w:tr2bl w:val="nil"/>
                  </w:tcBorders>
                  <w:vAlign w:val="center"/>
                </w:tcPr>
                <w:p>
                  <w:pPr>
                    <w:widowControl/>
                    <w:jc w:val="center"/>
                    <w:textAlignment w:val="center"/>
                    <w:rPr>
                      <w:rFonts w:ascii="Times New Roman" w:hAnsi="Times New Roman"/>
                      <w:color w:val="000000" w:themeColor="text1"/>
                      <w:szCs w:val="21"/>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T</w:t>
                  </w:r>
                  <w:r>
                    <w:rPr>
                      <w:rFonts w:ascii="Times New Roman" w:hAnsi="Times New Roman"/>
                      <w:color w:val="000000" w:themeColor="text1"/>
                      <w:kern w:val="0"/>
                      <w:szCs w:val="21"/>
                      <w:lang w:bidi="ar"/>
                      <w14:textFill>
                        <w14:solidFill>
                          <w14:schemeClr w14:val="tx1"/>
                        </w14:solidFill>
                      </w14:textFill>
                    </w:rPr>
                    <w:t>6</w:t>
                  </w:r>
                </w:p>
              </w:tc>
              <w:tc>
                <w:tcPr>
                  <w:tcW w:w="158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109°49′26.99830″</w:t>
                  </w:r>
                </w:p>
              </w:tc>
              <w:tc>
                <w:tcPr>
                  <w:tcW w:w="181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35°16′5.61416″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tcBorders>
                    <w:tl2br w:val="nil"/>
                    <w:tr2bl w:val="nil"/>
                  </w:tcBorders>
                </w:tcPr>
                <w:p>
                  <w:pPr>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w:t>
                  </w:r>
                </w:p>
              </w:tc>
              <w:tc>
                <w:tcPr>
                  <w:tcW w:w="876" w:type="pct"/>
                  <w:tcBorders>
                    <w:tl2br w:val="nil"/>
                    <w:tr2bl w:val="nil"/>
                  </w:tcBorders>
                  <w:vAlign w:val="center"/>
                </w:tcPr>
                <w:p>
                  <w:pPr>
                    <w:widowControl/>
                    <w:jc w:val="center"/>
                    <w:textAlignment w:val="center"/>
                    <w:rPr>
                      <w:rFonts w:ascii="Times New Roman" w:hAnsi="Times New Roman"/>
                      <w:color w:val="000000" w:themeColor="text1"/>
                      <w:szCs w:val="21"/>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T</w:t>
                  </w:r>
                  <w:r>
                    <w:rPr>
                      <w:rFonts w:ascii="Times New Roman" w:hAnsi="Times New Roman"/>
                      <w:color w:val="000000" w:themeColor="text1"/>
                      <w:kern w:val="0"/>
                      <w:szCs w:val="21"/>
                      <w:lang w:bidi="ar"/>
                      <w14:textFill>
                        <w14:solidFill>
                          <w14:schemeClr w14:val="tx1"/>
                        </w14:solidFill>
                      </w14:textFill>
                    </w:rPr>
                    <w:t>7</w:t>
                  </w:r>
                </w:p>
              </w:tc>
              <w:tc>
                <w:tcPr>
                  <w:tcW w:w="158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109°53′0.06660″</w:t>
                  </w:r>
                </w:p>
              </w:tc>
              <w:tc>
                <w:tcPr>
                  <w:tcW w:w="181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35°14′7.05286″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24" w:type="pct"/>
                  <w:tcBorders>
                    <w:tl2br w:val="nil"/>
                    <w:tr2bl w:val="nil"/>
                  </w:tcBorders>
                </w:tcPr>
                <w:p>
                  <w:pPr>
                    <w:jc w:val="center"/>
                    <w:rPr>
                      <w:rFonts w:ascii="Times New Roman" w:hAnsi="Times New Roman" w:eastAsiaTheme="minorEastAsia"/>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8</w:t>
                  </w:r>
                </w:p>
              </w:tc>
              <w:tc>
                <w:tcPr>
                  <w:tcW w:w="876" w:type="pct"/>
                  <w:tcBorders>
                    <w:tl2br w:val="nil"/>
                    <w:tr2bl w:val="nil"/>
                  </w:tcBorders>
                  <w:vAlign w:val="center"/>
                </w:tcPr>
                <w:p>
                  <w:pPr>
                    <w:widowControl/>
                    <w:jc w:val="center"/>
                    <w:textAlignment w:val="center"/>
                    <w:rPr>
                      <w:rFonts w:ascii="Times New Roman" w:hAnsi="Times New Roman"/>
                      <w:color w:val="000000" w:themeColor="text1"/>
                      <w:szCs w:val="21"/>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T</w:t>
                  </w:r>
                  <w:r>
                    <w:rPr>
                      <w:rFonts w:ascii="Times New Roman" w:hAnsi="Times New Roman"/>
                      <w:color w:val="000000" w:themeColor="text1"/>
                      <w:kern w:val="0"/>
                      <w:szCs w:val="21"/>
                      <w:lang w:bidi="ar"/>
                      <w14:textFill>
                        <w14:solidFill>
                          <w14:schemeClr w14:val="tx1"/>
                        </w14:solidFill>
                      </w14:textFill>
                    </w:rPr>
                    <w:t>8</w:t>
                  </w:r>
                </w:p>
              </w:tc>
              <w:tc>
                <w:tcPr>
                  <w:tcW w:w="158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109°52′46.70190″</w:t>
                  </w:r>
                </w:p>
              </w:tc>
              <w:tc>
                <w:tcPr>
                  <w:tcW w:w="181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35°17′7.06813″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Merge w:val="restart"/>
                  <w:tcBorders>
                    <w:tl2br w:val="nil"/>
                    <w:tr2bl w:val="nil"/>
                  </w:tcBorders>
                  <w:vAlign w:val="center"/>
                </w:tcPr>
                <w:p>
                  <w:pPr>
                    <w:jc w:val="center"/>
                    <w:rPr>
                      <w:rFonts w:hint="default" w:ascii="Times New Roman" w:hAnsi="Times New Roman"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9</w:t>
                  </w:r>
                </w:p>
              </w:tc>
              <w:tc>
                <w:tcPr>
                  <w:tcW w:w="876" w:type="pct"/>
                  <w:vMerge w:val="restart"/>
                  <w:tcBorders>
                    <w:tl2br w:val="nil"/>
                    <w:tr2bl w:val="nil"/>
                  </w:tcBorders>
                  <w:vAlign w:val="center"/>
                </w:tcPr>
                <w:p>
                  <w:pPr>
                    <w:jc w:val="center"/>
                    <w:rPr>
                      <w:rFonts w:hint="default" w:ascii="Times New Roman" w:hAnsi="Times New Roman"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35KV开关站</w:t>
                  </w:r>
                </w:p>
              </w:tc>
              <w:tc>
                <w:tcPr>
                  <w:tcW w:w="158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109°51′18.3921″</w:t>
                  </w:r>
                </w:p>
              </w:tc>
              <w:tc>
                <w:tcPr>
                  <w:tcW w:w="181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35°15′57.6043″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24" w:type="pct"/>
                  <w:vMerge w:val="continue"/>
                  <w:tcBorders>
                    <w:tl2br w:val="nil"/>
                    <w:tr2bl w:val="nil"/>
                  </w:tcBorders>
                </w:tcPr>
                <w:p>
                  <w:pPr>
                    <w:jc w:val="center"/>
                    <w:rPr>
                      <w:rFonts w:ascii="Times New Roman" w:hAnsi="Times New Roman"/>
                      <w:color w:val="000000" w:themeColor="text1"/>
                      <w:szCs w:val="21"/>
                      <w14:textFill>
                        <w14:solidFill>
                          <w14:schemeClr w14:val="tx1"/>
                        </w14:solidFill>
                      </w14:textFill>
                    </w:rPr>
                  </w:pPr>
                </w:p>
              </w:tc>
              <w:tc>
                <w:tcPr>
                  <w:tcW w:w="876" w:type="pct"/>
                  <w:vMerge w:val="continue"/>
                  <w:tcBorders>
                    <w:tl2br w:val="nil"/>
                    <w:tr2bl w:val="nil"/>
                  </w:tcBorders>
                </w:tcPr>
                <w:p>
                  <w:pPr>
                    <w:jc w:val="center"/>
                    <w:rPr>
                      <w:rFonts w:ascii="Times New Roman" w:hAnsi="Times New Roman"/>
                      <w:color w:val="000000" w:themeColor="text1"/>
                      <w:szCs w:val="21"/>
                      <w14:textFill>
                        <w14:solidFill>
                          <w14:schemeClr w14:val="tx1"/>
                        </w14:solidFill>
                      </w14:textFill>
                    </w:rPr>
                  </w:pPr>
                </w:p>
              </w:tc>
              <w:tc>
                <w:tcPr>
                  <w:tcW w:w="158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109°51′20.3644″</w:t>
                  </w:r>
                </w:p>
              </w:tc>
              <w:tc>
                <w:tcPr>
                  <w:tcW w:w="181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35°15′57.4815″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Merge w:val="continue"/>
                  <w:tcBorders>
                    <w:tl2br w:val="nil"/>
                    <w:tr2bl w:val="nil"/>
                  </w:tcBorders>
                </w:tcPr>
                <w:p>
                  <w:pPr>
                    <w:jc w:val="center"/>
                    <w:rPr>
                      <w:rFonts w:ascii="Times New Roman" w:hAnsi="Times New Roman"/>
                      <w:color w:val="000000" w:themeColor="text1"/>
                      <w:szCs w:val="21"/>
                      <w14:textFill>
                        <w14:solidFill>
                          <w14:schemeClr w14:val="tx1"/>
                        </w14:solidFill>
                      </w14:textFill>
                    </w:rPr>
                  </w:pPr>
                </w:p>
              </w:tc>
              <w:tc>
                <w:tcPr>
                  <w:tcW w:w="876" w:type="pct"/>
                  <w:vMerge w:val="continue"/>
                  <w:tcBorders>
                    <w:tl2br w:val="nil"/>
                    <w:tr2bl w:val="nil"/>
                  </w:tcBorders>
                </w:tcPr>
                <w:p>
                  <w:pPr>
                    <w:jc w:val="center"/>
                    <w:rPr>
                      <w:rFonts w:ascii="Times New Roman" w:hAnsi="Times New Roman"/>
                      <w:color w:val="000000" w:themeColor="text1"/>
                      <w:szCs w:val="21"/>
                      <w14:textFill>
                        <w14:solidFill>
                          <w14:schemeClr w14:val="tx1"/>
                        </w14:solidFill>
                      </w14:textFill>
                    </w:rPr>
                  </w:pPr>
                </w:p>
              </w:tc>
              <w:tc>
                <w:tcPr>
                  <w:tcW w:w="158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109°51′20.2745″</w:t>
                  </w:r>
                </w:p>
              </w:tc>
              <w:tc>
                <w:tcPr>
                  <w:tcW w:w="181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35°15′56.5109″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Merge w:val="continue"/>
                  <w:tcBorders>
                    <w:tl2br w:val="nil"/>
                    <w:tr2bl w:val="nil"/>
                  </w:tcBorders>
                </w:tcPr>
                <w:p>
                  <w:pPr>
                    <w:jc w:val="center"/>
                    <w:rPr>
                      <w:rFonts w:ascii="Times New Roman" w:hAnsi="Times New Roman"/>
                      <w:color w:val="000000" w:themeColor="text1"/>
                      <w:szCs w:val="21"/>
                      <w14:textFill>
                        <w14:solidFill>
                          <w14:schemeClr w14:val="tx1"/>
                        </w14:solidFill>
                      </w14:textFill>
                    </w:rPr>
                  </w:pPr>
                </w:p>
              </w:tc>
              <w:tc>
                <w:tcPr>
                  <w:tcW w:w="876" w:type="pct"/>
                  <w:vMerge w:val="continue"/>
                  <w:tcBorders>
                    <w:tl2br w:val="nil"/>
                    <w:tr2bl w:val="nil"/>
                  </w:tcBorders>
                </w:tcPr>
                <w:p>
                  <w:pPr>
                    <w:jc w:val="center"/>
                    <w:rPr>
                      <w:rFonts w:ascii="Times New Roman" w:hAnsi="Times New Roman"/>
                      <w:color w:val="000000" w:themeColor="text1"/>
                      <w:szCs w:val="21"/>
                      <w14:textFill>
                        <w14:solidFill>
                          <w14:schemeClr w14:val="tx1"/>
                        </w14:solidFill>
                      </w14:textFill>
                    </w:rPr>
                  </w:pPr>
                </w:p>
              </w:tc>
              <w:tc>
                <w:tcPr>
                  <w:tcW w:w="158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109°51′18.3023″</w:t>
                  </w:r>
                </w:p>
              </w:tc>
              <w:tc>
                <w:tcPr>
                  <w:tcW w:w="181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35°15′56.6338″</w:t>
                  </w:r>
                </w:p>
              </w:tc>
            </w:tr>
          </w:tbl>
          <w:p>
            <w:pPr>
              <w:spacing w:line="360" w:lineRule="auto"/>
              <w:ind w:firstLine="480" w:firstLineChars="200"/>
              <w:jc w:val="left"/>
              <w:rPr>
                <w:rFonts w:hint="default" w:ascii="Times New Roman" w:hAnsi="Times New Roman"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1.</w:t>
            </w:r>
            <w:r>
              <w:rPr>
                <w:rFonts w:hint="eastAsia"/>
                <w:color w:val="000000" w:themeColor="text1"/>
                <w:sz w:val="24"/>
                <w:lang w:val="en-US" w:eastAsia="zh-CN"/>
                <w14:textFill>
                  <w14:solidFill>
                    <w14:schemeClr w14:val="tx1"/>
                  </w14:solidFill>
                </w14:textFill>
              </w:rPr>
              <w:t>3风能资源概况</w:t>
            </w:r>
          </w:p>
          <w:p>
            <w:pPr>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本项目风电场内有测风塔1座，塔号为#3147，</w:t>
            </w:r>
            <w:r>
              <w:rPr>
                <w:rFonts w:ascii="Times New Roman" w:hAnsi="Times New Roman"/>
                <w:color w:val="000000" w:themeColor="text1"/>
                <w:sz w:val="24"/>
                <w14:textFill>
                  <w14:solidFill>
                    <w14:schemeClr w14:val="tx1"/>
                  </w14:solidFill>
                </w14:textFill>
              </w:rPr>
              <w:t>测风塔塔架为垳架式，塔高为120m。其测风设备配置有风速、风向、气温、气压等观测项目，观测记录为每10min一个，#</w:t>
            </w:r>
            <w:r>
              <w:rPr>
                <w:rFonts w:hint="eastAsia"/>
                <w:color w:val="000000" w:themeColor="text1"/>
                <w:sz w:val="24"/>
                <w:lang w:val="en-US" w:eastAsia="zh-CN"/>
                <w14:textFill>
                  <w14:solidFill>
                    <w14:schemeClr w14:val="tx1"/>
                  </w14:solidFill>
                </w14:textFill>
              </w:rPr>
              <w:t>3147</w:t>
            </w:r>
            <w:r>
              <w:rPr>
                <w:rFonts w:ascii="Times New Roman" w:hAnsi="Times New Roman"/>
                <w:color w:val="000000" w:themeColor="text1"/>
                <w:sz w:val="24"/>
                <w14:textFill>
                  <w14:solidFill>
                    <w14:schemeClr w14:val="tx1"/>
                  </w14:solidFill>
                </w14:textFill>
              </w:rPr>
              <w:t>测风塔风速通道分别为10m、</w:t>
            </w:r>
            <w:r>
              <w:rPr>
                <w:rFonts w:hint="eastAsia"/>
                <w:color w:val="000000" w:themeColor="text1"/>
                <w:sz w:val="24"/>
                <w:lang w:val="en-US" w:eastAsia="zh-CN"/>
                <w14:textFill>
                  <w14:solidFill>
                    <w14:schemeClr w14:val="tx1"/>
                  </w14:solidFill>
                </w14:textFill>
              </w:rPr>
              <w:t>40</w:t>
            </w:r>
            <w:r>
              <w:rPr>
                <w:rFonts w:ascii="Times New Roman" w:hAnsi="Times New Roman"/>
                <w:color w:val="000000" w:themeColor="text1"/>
                <w:sz w:val="24"/>
                <w14:textFill>
                  <w14:solidFill>
                    <w14:schemeClr w14:val="tx1"/>
                  </w14:solidFill>
                </w14:textFill>
              </w:rPr>
              <w:t>m、</w:t>
            </w:r>
            <w:r>
              <w:rPr>
                <w:rFonts w:hint="eastAsia"/>
                <w:color w:val="000000" w:themeColor="text1"/>
                <w:sz w:val="24"/>
                <w:lang w:val="en-US" w:eastAsia="zh-CN"/>
                <w14:textFill>
                  <w14:solidFill>
                    <w14:schemeClr w14:val="tx1"/>
                  </w14:solidFill>
                </w14:textFill>
              </w:rPr>
              <w:t>70</w:t>
            </w:r>
            <w:r>
              <w:rPr>
                <w:rFonts w:ascii="Times New Roman" w:hAnsi="Times New Roman"/>
                <w:color w:val="000000" w:themeColor="text1"/>
                <w:sz w:val="24"/>
                <w14:textFill>
                  <w14:solidFill>
                    <w14:schemeClr w14:val="tx1"/>
                  </w14:solidFill>
                </w14:textFill>
              </w:rPr>
              <w:t>m、</w:t>
            </w:r>
            <w:r>
              <w:rPr>
                <w:rFonts w:hint="eastAsia"/>
                <w:color w:val="000000" w:themeColor="text1"/>
                <w:sz w:val="24"/>
                <w:lang w:val="en-US" w:eastAsia="zh-CN"/>
                <w14:textFill>
                  <w14:solidFill>
                    <w14:schemeClr w14:val="tx1"/>
                  </w14:solidFill>
                </w14:textFill>
              </w:rPr>
              <w:t>100</w:t>
            </w:r>
            <w:r>
              <w:rPr>
                <w:rFonts w:ascii="Times New Roman" w:hAnsi="Times New Roman"/>
                <w:color w:val="000000" w:themeColor="text1"/>
                <w:sz w:val="24"/>
                <w14:textFill>
                  <w14:solidFill>
                    <w14:schemeClr w14:val="tx1"/>
                  </w14:solidFill>
                </w14:textFill>
              </w:rPr>
              <w:t>m、120m，风向通道分别为10m、120m；测风仪均经过标定，测风数据完整性和可靠性均有较好的保证。</w:t>
            </w:r>
          </w:p>
          <w:p>
            <w:pPr>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3147</w:t>
            </w:r>
            <w:r>
              <w:rPr>
                <w:rFonts w:hint="default" w:ascii="Times New Roman" w:hAnsi="Times New Roman" w:cs="Times New Roman"/>
                <w:color w:val="000000" w:themeColor="text1"/>
                <w:sz w:val="24"/>
                <w14:textFill>
                  <w14:solidFill>
                    <w14:schemeClr w14:val="tx1"/>
                  </w14:solidFill>
                </w14:textFill>
              </w:rPr>
              <w:t>测风塔年实测主导风向为</w:t>
            </w:r>
            <w:r>
              <w:rPr>
                <w:rFonts w:hint="eastAsia" w:cs="Times New Roman"/>
                <w:color w:val="000000" w:themeColor="text1"/>
                <w:sz w:val="24"/>
                <w:lang w:val="en-US" w:eastAsia="zh-CN"/>
                <w14:textFill>
                  <w14:solidFill>
                    <w14:schemeClr w14:val="tx1"/>
                  </w14:solidFill>
                </w14:textFill>
              </w:rPr>
              <w:t>ENE</w:t>
            </w:r>
            <w:r>
              <w:rPr>
                <w:rFonts w:hint="default" w:ascii="Times New Roman" w:hAnsi="Times New Roman" w:cs="Times New Roman"/>
                <w:color w:val="000000" w:themeColor="text1"/>
                <w:sz w:val="24"/>
                <w14:textFill>
                  <w14:solidFill>
                    <w14:schemeClr w14:val="tx1"/>
                  </w14:solidFill>
                </w14:textFill>
              </w:rPr>
              <w:t>，风电场夜里风速、风功率密度最大，然后逐渐减小，至中午12</w:t>
            </w:r>
            <w:r>
              <w:rPr>
                <w:rFonts w:hint="eastAsia"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00最小。风速、风功率密度在8</w:t>
            </w:r>
            <w:r>
              <w:rPr>
                <w:rFonts w:hint="eastAsia"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00～18</w:t>
            </w:r>
            <w:r>
              <w:rPr>
                <w:rFonts w:hint="eastAsia"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00</w:t>
            </w:r>
            <w:r>
              <w:rPr>
                <w:rFonts w:hint="eastAsia" w:cs="Times New Roman"/>
                <w:color w:val="000000" w:themeColor="text1"/>
                <w:sz w:val="24"/>
                <w:lang w:val="en-US" w:eastAsia="zh-CN"/>
                <w14:textFill>
                  <w14:solidFill>
                    <w14:schemeClr w14:val="tx1"/>
                  </w14:solidFill>
                </w14:textFill>
              </w:rPr>
              <w:t>时最</w:t>
            </w:r>
            <w:r>
              <w:rPr>
                <w:rFonts w:hint="default" w:ascii="Times New Roman" w:hAnsi="Times New Roman" w:cs="Times New Roman"/>
                <w:color w:val="000000" w:themeColor="text1"/>
                <w:sz w:val="24"/>
                <w14:textFill>
                  <w14:solidFill>
                    <w14:schemeClr w14:val="tx1"/>
                  </w14:solidFill>
                </w14:textFill>
              </w:rPr>
              <w:t>小，</w:t>
            </w:r>
            <w:r>
              <w:rPr>
                <w:rFonts w:hint="eastAsia" w:cs="Times New Roman"/>
                <w:color w:val="000000" w:themeColor="text1"/>
                <w:sz w:val="24"/>
                <w:lang w:val="en-US" w:eastAsia="zh-CN"/>
                <w14:textFill>
                  <w14:solidFill>
                    <w14:schemeClr w14:val="tx1"/>
                  </w14:solidFill>
                </w14:textFill>
              </w:rPr>
              <w:t>在</w:t>
            </w:r>
            <w:r>
              <w:rPr>
                <w:rFonts w:hint="default" w:ascii="Times New Roman" w:hAnsi="Times New Roman" w:cs="Times New Roman"/>
                <w:color w:val="000000" w:themeColor="text1"/>
                <w:sz w:val="24"/>
                <w14:textFill>
                  <w14:solidFill>
                    <w14:schemeClr w14:val="tx1"/>
                  </w14:solidFill>
                </w14:textFill>
              </w:rPr>
              <w:t>21</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00～6</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00</w:t>
            </w:r>
            <w:r>
              <w:rPr>
                <w:rFonts w:hint="eastAsia" w:cs="Times New Roman"/>
                <w:color w:val="000000" w:themeColor="text1"/>
                <w:sz w:val="24"/>
                <w:lang w:val="en-US" w:eastAsia="zh-CN"/>
                <w14:textFill>
                  <w14:solidFill>
                    <w14:schemeClr w14:val="tx1"/>
                  </w14:solidFill>
                </w14:textFill>
              </w:rPr>
              <w:t>时最</w:t>
            </w:r>
            <w:r>
              <w:rPr>
                <w:rFonts w:hint="default" w:ascii="Times New Roman" w:hAnsi="Times New Roman" w:cs="Times New Roman"/>
                <w:color w:val="000000" w:themeColor="text1"/>
                <w:sz w:val="24"/>
                <w14:textFill>
                  <w14:solidFill>
                    <w14:schemeClr w14:val="tx1"/>
                  </w14:solidFill>
                </w14:textFill>
              </w:rPr>
              <w:t>大。</w:t>
            </w:r>
            <w:r>
              <w:rPr>
                <w:rFonts w:ascii="Times New Roman" w:hAnsi="Times New Roman"/>
                <w:color w:val="000000" w:themeColor="text1"/>
                <w:sz w:val="24"/>
                <w14:textFill>
                  <w14:solidFill>
                    <w14:schemeClr w14:val="tx1"/>
                  </w14:solidFill>
                </w14:textFill>
              </w:rPr>
              <w:t>实测120m高度年平均风速为</w:t>
            </w:r>
            <w:r>
              <w:rPr>
                <w:rFonts w:hint="eastAsia"/>
                <w:color w:val="000000" w:themeColor="text1"/>
                <w:sz w:val="24"/>
                <w:lang w:val="en-US" w:eastAsia="zh-CN"/>
                <w14:textFill>
                  <w14:solidFill>
                    <w14:schemeClr w14:val="tx1"/>
                  </w14:solidFill>
                </w14:textFill>
              </w:rPr>
              <w:t>5.29</w:t>
            </w:r>
            <w:r>
              <w:rPr>
                <w:rFonts w:ascii="Times New Roman" w:hAnsi="Times New Roman"/>
                <w:color w:val="000000" w:themeColor="text1"/>
                <w:sz w:val="24"/>
                <w14:textFill>
                  <w14:solidFill>
                    <w14:schemeClr w14:val="tx1"/>
                  </w14:solidFill>
                </w14:textFill>
              </w:rPr>
              <w:t>m/s，年平均风功率密度为</w:t>
            </w:r>
            <w:r>
              <w:rPr>
                <w:rFonts w:hint="eastAsia"/>
                <w:color w:val="000000" w:themeColor="text1"/>
                <w:sz w:val="24"/>
                <w:lang w:val="en-US" w:eastAsia="zh-CN"/>
                <w14:textFill>
                  <w14:solidFill>
                    <w14:schemeClr w14:val="tx1"/>
                  </w14:solidFill>
                </w14:textFill>
              </w:rPr>
              <w:t>186</w:t>
            </w:r>
            <w:r>
              <w:rPr>
                <w:rFonts w:ascii="Times New Roman" w:hAnsi="Times New Roman"/>
                <w:color w:val="000000" w:themeColor="text1"/>
                <w:sz w:val="24"/>
                <w14:textFill>
                  <w14:solidFill>
                    <w14:schemeClr w14:val="tx1"/>
                  </w14:solidFill>
                </w14:textFill>
              </w:rPr>
              <w:t>W/m</w:t>
            </w:r>
            <w:r>
              <w:rPr>
                <w:rFonts w:ascii="Times New Roman" w:hAnsi="Times New Roman"/>
                <w:color w:val="000000" w:themeColor="text1"/>
                <w:sz w:val="24"/>
                <w:vertAlign w:val="superscript"/>
                <w14:textFill>
                  <w14:solidFill>
                    <w14:schemeClr w14:val="tx1"/>
                  </w14:solidFill>
                </w14:textFill>
              </w:rPr>
              <w:t>2</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100m高度年平均平均风速为</w:t>
            </w:r>
            <w:r>
              <w:rPr>
                <w:rFonts w:hint="eastAsia"/>
                <w:color w:val="000000" w:themeColor="text1"/>
                <w:sz w:val="24"/>
                <w:lang w:val="en-US" w:eastAsia="zh-CN"/>
                <w14:textFill>
                  <w14:solidFill>
                    <w14:schemeClr w14:val="tx1"/>
                  </w14:solidFill>
                </w14:textFill>
              </w:rPr>
              <w:t>5.23</w:t>
            </w:r>
            <w:r>
              <w:rPr>
                <w:rFonts w:ascii="Times New Roman" w:hAnsi="Times New Roman"/>
                <w:color w:val="000000" w:themeColor="text1"/>
                <w:sz w:val="24"/>
                <w14:textFill>
                  <w14:solidFill>
                    <w14:schemeClr w14:val="tx1"/>
                  </w14:solidFill>
                </w14:textFill>
              </w:rPr>
              <w:t>m/s，年平均风功率密度为</w:t>
            </w:r>
            <w:r>
              <w:rPr>
                <w:rFonts w:hint="eastAsia"/>
                <w:color w:val="000000" w:themeColor="text1"/>
                <w:sz w:val="24"/>
                <w:lang w:val="en-US" w:eastAsia="zh-CN"/>
                <w14:textFill>
                  <w14:solidFill>
                    <w14:schemeClr w14:val="tx1"/>
                  </w14:solidFill>
                </w14:textFill>
              </w:rPr>
              <w:t>173</w:t>
            </w:r>
            <w:r>
              <w:rPr>
                <w:rFonts w:ascii="Times New Roman" w:hAnsi="Times New Roman"/>
                <w:color w:val="000000" w:themeColor="text1"/>
                <w:sz w:val="24"/>
                <w14:textFill>
                  <w14:solidFill>
                    <w14:schemeClr w14:val="tx1"/>
                  </w14:solidFill>
                </w14:textFill>
              </w:rPr>
              <w:t>W/m</w:t>
            </w:r>
            <w:r>
              <w:rPr>
                <w:rFonts w:ascii="Times New Roman" w:hAnsi="Times New Roman"/>
                <w:color w:val="000000" w:themeColor="text1"/>
                <w:sz w:val="24"/>
                <w:vertAlign w:val="superscript"/>
                <w14:textFill>
                  <w14:solidFill>
                    <w14:schemeClr w14:val="tx1"/>
                  </w14:solidFill>
                </w14:textFill>
              </w:rPr>
              <w:t>2</w:t>
            </w:r>
            <w:r>
              <w:rPr>
                <w:rFonts w:hint="eastAsia"/>
                <w:color w:val="000000" w:themeColor="text1"/>
                <w:sz w:val="24"/>
                <w:vertAlign w:val="baseline"/>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7</w:t>
            </w:r>
            <w:r>
              <w:rPr>
                <w:rFonts w:ascii="Times New Roman" w:hAnsi="Times New Roman"/>
                <w:color w:val="000000" w:themeColor="text1"/>
                <w:sz w:val="24"/>
                <w14:textFill>
                  <w14:solidFill>
                    <w14:schemeClr w14:val="tx1"/>
                  </w14:solidFill>
                </w14:textFill>
              </w:rPr>
              <w:t>0m高度年平均平均风速为4.1</w:t>
            </w:r>
            <w:r>
              <w:rPr>
                <w:rFonts w:hint="eastAsia"/>
                <w:color w:val="000000" w:themeColor="text1"/>
                <w:sz w:val="24"/>
                <w:lang w:val="en-US" w:eastAsia="zh-CN"/>
                <w14:textFill>
                  <w14:solidFill>
                    <w14:schemeClr w14:val="tx1"/>
                  </w14:solidFill>
                </w14:textFill>
              </w:rPr>
              <w:t>7</w:t>
            </w:r>
            <w:r>
              <w:rPr>
                <w:rFonts w:ascii="Times New Roman" w:hAnsi="Times New Roman"/>
                <w:color w:val="000000" w:themeColor="text1"/>
                <w:sz w:val="24"/>
                <w14:textFill>
                  <w14:solidFill>
                    <w14:schemeClr w14:val="tx1"/>
                  </w14:solidFill>
                </w14:textFill>
              </w:rPr>
              <w:t>m/s，年平均风功率密度为</w:t>
            </w:r>
            <w:r>
              <w:rPr>
                <w:rFonts w:hint="eastAsia"/>
                <w:color w:val="000000" w:themeColor="text1"/>
                <w:sz w:val="24"/>
                <w:lang w:val="en-US" w:eastAsia="zh-CN"/>
                <w14:textFill>
                  <w14:solidFill>
                    <w14:schemeClr w14:val="tx1"/>
                  </w14:solidFill>
                </w14:textFill>
              </w:rPr>
              <w:t>134</w:t>
            </w:r>
            <w:r>
              <w:rPr>
                <w:rFonts w:ascii="Times New Roman" w:hAnsi="Times New Roman"/>
                <w:color w:val="000000" w:themeColor="text1"/>
                <w:sz w:val="24"/>
                <w14:textFill>
                  <w14:solidFill>
                    <w14:schemeClr w14:val="tx1"/>
                  </w14:solidFill>
                </w14:textFill>
              </w:rPr>
              <w:t>W/m</w:t>
            </w:r>
            <w:r>
              <w:rPr>
                <w:rFonts w:ascii="Times New Roman" w:hAnsi="Times New Roman"/>
                <w:color w:val="000000" w:themeColor="text1"/>
                <w:sz w:val="24"/>
                <w:vertAlign w:val="superscript"/>
                <w14:textFill>
                  <w14:solidFill>
                    <w14:schemeClr w14:val="tx1"/>
                  </w14:solidFill>
                </w14:textFill>
              </w:rPr>
              <w:t>2</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50m高度年平均平均风速</w:t>
            </w:r>
            <w:r>
              <w:rPr>
                <w:rFonts w:hint="eastAsia"/>
                <w:color w:val="000000" w:themeColor="text1"/>
                <w:sz w:val="24"/>
                <w:lang w:val="en-US" w:eastAsia="zh-CN"/>
                <w14:textFill>
                  <w14:solidFill>
                    <w14:schemeClr w14:val="tx1"/>
                  </w14:solidFill>
                </w14:textFill>
              </w:rPr>
              <w:t>4.89</w:t>
            </w:r>
            <w:r>
              <w:rPr>
                <w:rFonts w:ascii="Times New Roman" w:hAnsi="Times New Roman"/>
                <w:color w:val="000000" w:themeColor="text1"/>
                <w:sz w:val="24"/>
                <w14:textFill>
                  <w14:solidFill>
                    <w14:schemeClr w14:val="tx1"/>
                  </w14:solidFill>
                </w14:textFill>
              </w:rPr>
              <w:t>m/s，年平均风功率密度为</w:t>
            </w:r>
            <w:r>
              <w:rPr>
                <w:rFonts w:hint="eastAsia"/>
                <w:color w:val="000000" w:themeColor="text1"/>
                <w:sz w:val="24"/>
                <w:lang w:val="en-US" w:eastAsia="zh-CN"/>
                <w14:textFill>
                  <w14:solidFill>
                    <w14:schemeClr w14:val="tx1"/>
                  </w14:solidFill>
                </w14:textFill>
              </w:rPr>
              <w:t>64.96</w:t>
            </w:r>
            <w:r>
              <w:rPr>
                <w:rFonts w:ascii="Times New Roman" w:hAnsi="Times New Roman"/>
                <w:color w:val="000000" w:themeColor="text1"/>
                <w:sz w:val="24"/>
                <w14:textFill>
                  <w14:solidFill>
                    <w14:schemeClr w14:val="tx1"/>
                  </w14:solidFill>
                </w14:textFill>
              </w:rPr>
              <w:t>W/m</w:t>
            </w:r>
            <w:r>
              <w:rPr>
                <w:rFonts w:ascii="Times New Roman" w:hAnsi="Times New Roman"/>
                <w:color w:val="000000" w:themeColor="text1"/>
                <w:sz w:val="24"/>
                <w:vertAlign w:val="superscript"/>
                <w14:textFill>
                  <w14:solidFill>
                    <w14:schemeClr w14:val="tx1"/>
                  </w14:solidFill>
                </w14:textFill>
              </w:rPr>
              <w:t>2</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0m高度年平均平均风速为</w:t>
            </w:r>
            <w:r>
              <w:rPr>
                <w:rFonts w:hint="eastAsia"/>
                <w:color w:val="000000" w:themeColor="text1"/>
                <w:sz w:val="24"/>
                <w:lang w:val="en-US" w:eastAsia="zh-CN"/>
                <w14:textFill>
                  <w14:solidFill>
                    <w14:schemeClr w14:val="tx1"/>
                  </w14:solidFill>
                </w14:textFill>
              </w:rPr>
              <w:t>4.27</w:t>
            </w:r>
            <w:r>
              <w:rPr>
                <w:rFonts w:ascii="Times New Roman" w:hAnsi="Times New Roman"/>
                <w:color w:val="000000" w:themeColor="text1"/>
                <w:sz w:val="24"/>
                <w14:textFill>
                  <w14:solidFill>
                    <w14:schemeClr w14:val="tx1"/>
                  </w14:solidFill>
                </w14:textFill>
              </w:rPr>
              <w:t>m/s，年平均风功率密度为</w:t>
            </w:r>
            <w:r>
              <w:rPr>
                <w:rFonts w:hint="eastAsia"/>
                <w:color w:val="000000" w:themeColor="text1"/>
                <w:sz w:val="24"/>
                <w:lang w:val="en-US" w:eastAsia="zh-CN"/>
                <w14:textFill>
                  <w14:solidFill>
                    <w14:schemeClr w14:val="tx1"/>
                  </w14:solidFill>
                </w14:textFill>
              </w:rPr>
              <w:t>88</w:t>
            </w:r>
            <w:r>
              <w:rPr>
                <w:rFonts w:ascii="Times New Roman" w:hAnsi="Times New Roman"/>
                <w:color w:val="000000" w:themeColor="text1"/>
                <w:sz w:val="24"/>
                <w14:textFill>
                  <w14:solidFill>
                    <w14:schemeClr w14:val="tx1"/>
                  </w14:solidFill>
                </w14:textFill>
              </w:rPr>
              <w:t>W/m</w:t>
            </w:r>
            <w:r>
              <w:rPr>
                <w:rFonts w:ascii="Times New Roman" w:hAnsi="Times New Roman"/>
                <w:color w:val="000000" w:themeColor="text1"/>
                <w:sz w:val="24"/>
                <w:vertAlign w:val="superscript"/>
                <w14:textFill>
                  <w14:solidFill>
                    <w14:schemeClr w14:val="tx1"/>
                  </w14:solidFill>
                </w14:textFill>
              </w:rPr>
              <w:t>2</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10m高度年平均平均风速为</w:t>
            </w:r>
            <w:r>
              <w:rPr>
                <w:rFonts w:hint="eastAsia"/>
                <w:color w:val="000000" w:themeColor="text1"/>
                <w:sz w:val="24"/>
                <w:lang w:val="en-US" w:eastAsia="zh-CN"/>
                <w14:textFill>
                  <w14:solidFill>
                    <w14:schemeClr w14:val="tx1"/>
                  </w14:solidFill>
                </w14:textFill>
              </w:rPr>
              <w:t>2.88</w:t>
            </w:r>
            <w:r>
              <w:rPr>
                <w:rFonts w:ascii="Times New Roman" w:hAnsi="Times New Roman"/>
                <w:color w:val="000000" w:themeColor="text1"/>
                <w:sz w:val="24"/>
                <w14:textFill>
                  <w14:solidFill>
                    <w14:schemeClr w14:val="tx1"/>
                  </w14:solidFill>
                </w14:textFill>
              </w:rPr>
              <w:t>m/s，年平均风功率密度为</w:t>
            </w:r>
            <w:r>
              <w:rPr>
                <w:rFonts w:hint="eastAsia"/>
                <w:color w:val="000000" w:themeColor="text1"/>
                <w:sz w:val="24"/>
                <w:lang w:val="en-US" w:eastAsia="zh-CN"/>
                <w14:textFill>
                  <w14:solidFill>
                    <w14:schemeClr w14:val="tx1"/>
                  </w14:solidFill>
                </w14:textFill>
              </w:rPr>
              <w:t>29</w:t>
            </w:r>
            <w:r>
              <w:rPr>
                <w:rFonts w:ascii="Times New Roman" w:hAnsi="Times New Roman"/>
                <w:color w:val="000000" w:themeColor="text1"/>
                <w:sz w:val="24"/>
                <w14:textFill>
                  <w14:solidFill>
                    <w14:schemeClr w14:val="tx1"/>
                  </w14:solidFill>
                </w14:textFill>
              </w:rPr>
              <w:t>W/m</w:t>
            </w:r>
            <w:r>
              <w:rPr>
                <w:rFonts w:ascii="Times New Roman" w:hAnsi="Times New Roman"/>
                <w:color w:val="000000" w:themeColor="text1"/>
                <w:sz w:val="24"/>
                <w:vertAlign w:val="super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w:t>
            </w:r>
          </w:p>
          <w:p>
            <w:pPr>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根据《风电场风能资源测量和评估技术规定》中推荐的极值I型分布，选取观测期内每日测风数据的10min最大平均风速，利用五日最大法推算50年一遇最大风速。计算结果表明，风力发电机组轮毂120m高度50年一遇最大风速为</w:t>
            </w:r>
            <w:r>
              <w:rPr>
                <w:rFonts w:hint="eastAsia"/>
                <w:color w:val="000000" w:themeColor="text1"/>
                <w:sz w:val="24"/>
                <w:lang w:val="en-US" w:eastAsia="zh-CN"/>
                <w14:textFill>
                  <w14:solidFill>
                    <w14:schemeClr w14:val="tx1"/>
                  </w14:solidFill>
                </w14:textFill>
              </w:rPr>
              <w:t>26.25</w:t>
            </w:r>
            <w:r>
              <w:rPr>
                <w:rFonts w:ascii="Times New Roman" w:hAnsi="Times New Roman"/>
                <w:color w:val="000000" w:themeColor="text1"/>
                <w:sz w:val="24"/>
                <w14:textFill>
                  <w14:solidFill>
                    <w14:schemeClr w14:val="tx1"/>
                  </w14:solidFill>
                </w14:textFill>
              </w:rPr>
              <w:t>m/s</w:t>
            </w:r>
            <w:r>
              <w:rPr>
                <w:rFonts w:hint="eastAsia"/>
                <w:color w:val="000000" w:themeColor="text1"/>
                <w:sz w:val="24"/>
                <w:lang w:val="en-US" w:eastAsia="zh-CN"/>
                <w14:textFill>
                  <w14:solidFill>
                    <w14:schemeClr w14:val="tx1"/>
                  </w14:solidFill>
                </w14:textFill>
              </w:rPr>
              <w:t>，极大风速为36.75m/s</w:t>
            </w:r>
            <w:r>
              <w:rPr>
                <w:rFonts w:ascii="Times New Roman" w:hAnsi="Times New Roman"/>
                <w:color w:val="000000" w:themeColor="text1"/>
                <w:sz w:val="24"/>
                <w14:textFill>
                  <w14:solidFill>
                    <w14:schemeClr w14:val="tx1"/>
                  </w14:solidFill>
                </w14:textFill>
              </w:rPr>
              <w:t>。根据IEC61400-1定义的风力发电机安全机组等级及考虑风电场空气密度，该地区适宜III类及以上安全等级的风机。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2</w:t>
            </w:r>
            <w:r>
              <w:rPr>
                <w:rFonts w:hint="eastAsia" w:ascii="Times New Roman" w:hAnsi="Times New Roman"/>
                <w:b/>
                <w:bCs/>
                <w:color w:val="000000" w:themeColor="text1"/>
                <w:sz w:val="24"/>
                <w:lang w:val="en-US" w:eastAsia="zh-CN"/>
                <w14:textFill>
                  <w14:solidFill>
                    <w14:schemeClr w14:val="tx1"/>
                  </w14:solidFill>
                </w14:textFill>
              </w:rPr>
              <w:t>、建设规模、主要建设内容</w:t>
            </w:r>
          </w:p>
          <w:p>
            <w:pPr>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hint="eastAsia" w:eastAsia="黑体"/>
                <w:color w:val="000000" w:themeColor="text1"/>
                <w:sz w:val="24"/>
                <w:lang w:val="en-US" w:eastAsia="zh-CN"/>
                <w14:textFill>
                  <w14:solidFill>
                    <w14:schemeClr w14:val="tx1"/>
                  </w14:solidFill>
                </w14:textFill>
              </w:rPr>
              <w:t>2</w:t>
            </w:r>
            <w:r>
              <w:rPr>
                <w:rFonts w:ascii="Times New Roman" w:hAnsi="Times New Roman" w:eastAsia="黑体"/>
                <w:color w:val="000000" w:themeColor="text1"/>
                <w:sz w:val="24"/>
                <w14:textFill>
                  <w14:solidFill>
                    <w14:schemeClr w14:val="tx1"/>
                  </w14:solidFill>
                </w14:textFill>
              </w:rPr>
              <w:t>.1</w:t>
            </w:r>
            <w:r>
              <w:rPr>
                <w:rFonts w:ascii="Times New Roman" w:hAnsi="Times New Roman"/>
                <w:color w:val="000000" w:themeColor="text1"/>
                <w:sz w:val="24"/>
                <w14:textFill>
                  <w14:solidFill>
                    <w14:schemeClr w14:val="tx1"/>
                  </w14:solidFill>
                </w14:textFill>
              </w:rPr>
              <w:t>建设规模</w:t>
            </w:r>
          </w:p>
          <w:p>
            <w:pPr>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本项目装机容量为</w:t>
            </w:r>
            <w:r>
              <w:rPr>
                <w:rFonts w:hint="eastAsia"/>
                <w:color w:val="000000" w:themeColor="text1"/>
                <w:sz w:val="24"/>
                <w:lang w:val="en-US" w:eastAsia="zh-CN"/>
                <w14:textFill>
                  <w14:solidFill>
                    <w14:schemeClr w14:val="tx1"/>
                  </w14:solidFill>
                </w14:textFill>
              </w:rPr>
              <w:t>20</w:t>
            </w:r>
            <w:r>
              <w:rPr>
                <w:rFonts w:ascii="Times New Roman" w:hAnsi="Times New Roman"/>
                <w:color w:val="000000" w:themeColor="text1"/>
                <w:sz w:val="24"/>
                <w14:textFill>
                  <w14:solidFill>
                    <w14:schemeClr w14:val="tx1"/>
                  </w14:solidFill>
                </w14:textFill>
              </w:rPr>
              <w:t>MW，安装</w:t>
            </w:r>
            <w:r>
              <w:rPr>
                <w:rFonts w:hint="eastAsia"/>
                <w:color w:val="000000" w:themeColor="text1"/>
                <w:sz w:val="24"/>
                <w:lang w:val="en-US" w:eastAsia="zh-CN"/>
                <w14:textFill>
                  <w14:solidFill>
                    <w14:schemeClr w14:val="tx1"/>
                  </w14:solidFill>
                </w14:textFill>
              </w:rPr>
              <w:t>8</w:t>
            </w:r>
            <w:r>
              <w:rPr>
                <w:rFonts w:ascii="Times New Roman" w:hAnsi="Times New Roman"/>
                <w:color w:val="000000" w:themeColor="text1"/>
                <w:sz w:val="24"/>
                <w14:textFill>
                  <w14:solidFill>
                    <w14:schemeClr w14:val="tx1"/>
                  </w14:solidFill>
                </w14:textFill>
              </w:rPr>
              <w:t>台单机容量为</w:t>
            </w:r>
            <w:r>
              <w:rPr>
                <w:rFonts w:ascii="Times New Roman" w:hAnsi="Times New Roman" w:eastAsia="Times New Roman"/>
                <w:color w:val="000000" w:themeColor="text1"/>
                <w:sz w:val="24"/>
                <w14:textFill>
                  <w14:solidFill>
                    <w14:schemeClr w14:val="tx1"/>
                  </w14:solidFill>
                </w14:textFill>
              </w:rPr>
              <w:t>2.5MW</w:t>
            </w:r>
            <w:r>
              <w:rPr>
                <w:rFonts w:ascii="Times New Roman" w:hAnsi="Times New Roman"/>
                <w:color w:val="000000" w:themeColor="text1"/>
                <w:sz w:val="24"/>
                <w14:textFill>
                  <w14:solidFill>
                    <w14:schemeClr w14:val="tx1"/>
                  </w14:solidFill>
                </w14:textFill>
              </w:rPr>
              <w:t>的风力发电机组，</w:t>
            </w:r>
            <w:r>
              <w:rPr>
                <w:rFonts w:ascii="Times New Roman" w:hAnsi="Times New Roman" w:eastAsia="Times New Roman"/>
                <w:color w:val="000000" w:themeColor="text1"/>
                <w:sz w:val="24"/>
                <w14:textFill>
                  <w14:solidFill>
                    <w14:schemeClr w14:val="tx1"/>
                  </w14:solidFill>
                </w14:textFill>
              </w:rPr>
              <w:t>年上网电量为</w:t>
            </w:r>
            <w:r>
              <w:rPr>
                <w:rFonts w:hint="eastAsia"/>
                <w:color w:val="000000" w:themeColor="text1"/>
                <w:sz w:val="24"/>
                <w:lang w:val="en-US" w:eastAsia="zh-CN"/>
                <w14:textFill>
                  <w14:solidFill>
                    <w14:schemeClr w14:val="tx1"/>
                  </w14:solidFill>
                </w14:textFill>
              </w:rPr>
              <w:t>4414.14</w:t>
            </w:r>
            <w:r>
              <w:rPr>
                <w:rFonts w:ascii="Times New Roman" w:hAnsi="Times New Roman"/>
                <w:color w:val="000000" w:themeColor="text1"/>
                <w:sz w:val="24"/>
                <w14:textFill>
                  <w14:solidFill>
                    <w14:schemeClr w14:val="tx1"/>
                  </w14:solidFill>
                </w14:textFill>
              </w:rPr>
              <w:t>万</w:t>
            </w:r>
            <w:r>
              <w:rPr>
                <w:rFonts w:ascii="Times New Roman" w:hAnsi="Times New Roman" w:eastAsia="TimesNewRomanPSMT"/>
                <w:color w:val="000000" w:themeColor="text1"/>
                <w:sz w:val="24"/>
                <w14:textFill>
                  <w14:solidFill>
                    <w14:schemeClr w14:val="tx1"/>
                  </w14:solidFill>
                </w14:textFill>
              </w:rPr>
              <w:t>kW·h</w:t>
            </w:r>
            <w:r>
              <w:rPr>
                <w:rFonts w:ascii="Times New Roman" w:hAnsi="Times New Roman" w:eastAsia="Times New Roman"/>
                <w:color w:val="000000" w:themeColor="text1"/>
                <w:sz w:val="24"/>
                <w14:textFill>
                  <w14:solidFill>
                    <w14:schemeClr w14:val="tx1"/>
                  </w14:solidFill>
                </w14:textFill>
              </w:rPr>
              <w:t>，年利用小时数</w:t>
            </w:r>
            <w:r>
              <w:rPr>
                <w:rFonts w:hint="eastAsia"/>
                <w:color w:val="000000" w:themeColor="text1"/>
                <w:sz w:val="24"/>
                <w:lang w:val="en-US" w:eastAsia="zh-CN"/>
                <w14:textFill>
                  <w14:solidFill>
                    <w14:schemeClr w14:val="tx1"/>
                  </w14:solidFill>
                </w14:textFill>
              </w:rPr>
              <w:t>2207</w:t>
            </w:r>
            <w:r>
              <w:rPr>
                <w:rFonts w:ascii="Times New Roman" w:hAnsi="Times New Roman" w:eastAsia="Times New Roman"/>
                <w:color w:val="000000" w:themeColor="text1"/>
                <w:sz w:val="24"/>
                <w14:textFill>
                  <w14:solidFill>
                    <w14:schemeClr w14:val="tx1"/>
                  </w14:solidFill>
                </w14:textFill>
              </w:rPr>
              <w:t>h。</w:t>
            </w:r>
          </w:p>
          <w:p>
            <w:pPr>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hint="eastAsia" w:eastAsia="黑体"/>
                <w:color w:val="000000" w:themeColor="text1"/>
                <w:sz w:val="24"/>
                <w:lang w:val="en-US" w:eastAsia="zh-CN"/>
                <w14:textFill>
                  <w14:solidFill>
                    <w14:schemeClr w14:val="tx1"/>
                  </w14:solidFill>
                </w14:textFill>
              </w:rPr>
              <w:t>2</w:t>
            </w:r>
            <w:r>
              <w:rPr>
                <w:rFonts w:ascii="Times New Roman" w:hAnsi="Times New Roman" w:eastAsia="黑体"/>
                <w:color w:val="000000" w:themeColor="text1"/>
                <w:sz w:val="24"/>
                <w14:textFill>
                  <w14:solidFill>
                    <w14:schemeClr w14:val="tx1"/>
                  </w14:solidFill>
                </w14:textFill>
              </w:rPr>
              <w:t>.2</w:t>
            </w:r>
            <w:r>
              <w:rPr>
                <w:rFonts w:ascii="Times New Roman" w:hAnsi="Times New Roman"/>
                <w:color w:val="000000" w:themeColor="text1"/>
                <w:sz w:val="24"/>
                <w14:textFill>
                  <w14:solidFill>
                    <w14:schemeClr w14:val="tx1"/>
                  </w14:solidFill>
                </w14:textFill>
              </w:rPr>
              <w:t>建设内容</w:t>
            </w:r>
          </w:p>
          <w:p>
            <w:pPr>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本项目主要工程建设内容包括：</w:t>
            </w:r>
            <w:r>
              <w:rPr>
                <w:rFonts w:hint="eastAsia"/>
                <w:color w:val="000000" w:themeColor="text1"/>
                <w:sz w:val="24"/>
                <w:lang w:val="en-US" w:eastAsia="zh-CN"/>
                <w14:textFill>
                  <w14:solidFill>
                    <w14:schemeClr w14:val="tx1"/>
                  </w14:solidFill>
                </w14:textFill>
              </w:rPr>
              <w:t>8</w:t>
            </w:r>
            <w:r>
              <w:rPr>
                <w:rFonts w:ascii="Times New Roman" w:hAnsi="Times New Roman"/>
                <w:color w:val="000000" w:themeColor="text1"/>
                <w:sz w:val="24"/>
                <w14:textFill>
                  <w14:solidFill>
                    <w14:schemeClr w14:val="tx1"/>
                  </w14:solidFill>
                </w14:textFill>
              </w:rPr>
              <w:t>台风力发电机组、箱式变电站、集电线路、</w:t>
            </w:r>
            <w:r>
              <w:rPr>
                <w:rFonts w:hint="eastAsia"/>
                <w:color w:val="000000" w:themeColor="text1"/>
                <w:sz w:val="24"/>
                <w:lang w:val="en-US" w:eastAsia="zh-CN"/>
                <w14:textFill>
                  <w14:solidFill>
                    <w14:schemeClr w14:val="tx1"/>
                  </w14:solidFill>
                </w14:textFill>
              </w:rPr>
              <w:t>35kV开关站以及</w:t>
            </w:r>
            <w:r>
              <w:rPr>
                <w:rFonts w:ascii="Times New Roman" w:hAnsi="Times New Roman"/>
                <w:color w:val="000000" w:themeColor="text1"/>
                <w:sz w:val="24"/>
                <w14:textFill>
                  <w14:solidFill>
                    <w14:schemeClr w14:val="tx1"/>
                  </w14:solidFill>
                </w14:textFill>
              </w:rPr>
              <w:t>配套的道路工程。</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（1）风电机组</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本工程风电机组安装</w:t>
            </w:r>
            <w:r>
              <w:rPr>
                <w:rFonts w:hint="eastAsia"/>
                <w:color w:val="000000" w:themeColor="text1"/>
                <w:sz w:val="24"/>
                <w:lang w:val="en-US" w:eastAsia="zh-CN"/>
                <w14:textFill>
                  <w14:solidFill>
                    <w14:schemeClr w14:val="tx1"/>
                  </w14:solidFill>
                </w14:textFill>
              </w:rPr>
              <w:t>8</w:t>
            </w:r>
            <w:r>
              <w:rPr>
                <w:rFonts w:ascii="Times New Roman" w:hAnsi="Times New Roman"/>
                <w:color w:val="000000" w:themeColor="text1"/>
                <w:sz w:val="24"/>
                <w14:textFill>
                  <w14:solidFill>
                    <w14:schemeClr w14:val="tx1"/>
                  </w14:solidFill>
                </w14:textFill>
              </w:rPr>
              <w:t>台</w:t>
            </w:r>
            <w:r>
              <w:rPr>
                <w:rFonts w:ascii="Times New Roman" w:hAnsi="Times New Roman" w:eastAsia="Times New Roman"/>
                <w:color w:val="000000" w:themeColor="text1"/>
                <w:sz w:val="24"/>
                <w14:textFill>
                  <w14:solidFill>
                    <w14:schemeClr w14:val="tx1"/>
                  </w14:solidFill>
                </w14:textFill>
              </w:rPr>
              <w:t>2.5MW的W</w:t>
            </w:r>
            <w:r>
              <w:rPr>
                <w:rFonts w:hint="eastAsia"/>
                <w:color w:val="000000" w:themeColor="text1"/>
                <w:sz w:val="24"/>
                <w:lang w:val="en-US" w:eastAsia="zh-CN"/>
                <w14:textFill>
                  <w14:solidFill>
                    <w14:schemeClr w14:val="tx1"/>
                  </w14:solidFill>
                </w14:textFill>
              </w:rPr>
              <w:t>TG2-</w:t>
            </w:r>
            <w:r>
              <w:rPr>
                <w:rFonts w:ascii="Times New Roman" w:hAnsi="Times New Roman" w:eastAsia="Times New Roman"/>
                <w:color w:val="000000" w:themeColor="text1"/>
                <w:sz w:val="24"/>
                <w14:textFill>
                  <w14:solidFill>
                    <w14:schemeClr w14:val="tx1"/>
                  </w14:solidFill>
                </w14:textFill>
              </w:rPr>
              <w:t>14</w:t>
            </w:r>
            <w:r>
              <w:rPr>
                <w:rFonts w:hint="eastAsia" w:eastAsia="宋体"/>
                <w:color w:val="000000" w:themeColor="text1"/>
                <w:sz w:val="24"/>
                <w:lang w:val="en-US" w:eastAsia="zh-CN"/>
                <w14:textFill>
                  <w14:solidFill>
                    <w14:schemeClr w14:val="tx1"/>
                  </w14:solidFill>
                </w14:textFill>
              </w:rPr>
              <w:t>7/</w:t>
            </w:r>
            <w:r>
              <w:rPr>
                <w:rFonts w:ascii="Times New Roman" w:hAnsi="Times New Roman" w:eastAsia="Times New Roman"/>
                <w:color w:val="000000" w:themeColor="text1"/>
                <w:sz w:val="24"/>
                <w14:textFill>
                  <w14:solidFill>
                    <w14:schemeClr w14:val="tx1"/>
                  </w14:solidFill>
                </w14:textFill>
              </w:rPr>
              <w:t>2.5型风力发电机组，风机叶片直径14</w:t>
            </w:r>
            <w:r>
              <w:rPr>
                <w:rFonts w:hint="eastAsia" w:eastAsia="宋体"/>
                <w:color w:val="000000" w:themeColor="text1"/>
                <w:sz w:val="24"/>
                <w:lang w:val="en-US" w:eastAsia="zh-CN"/>
                <w14:textFill>
                  <w14:solidFill>
                    <w14:schemeClr w14:val="tx1"/>
                  </w14:solidFill>
                </w14:textFill>
              </w:rPr>
              <w:t>7</w:t>
            </w:r>
            <w:r>
              <w:rPr>
                <w:rFonts w:ascii="Times New Roman" w:hAnsi="Times New Roman" w:eastAsia="Times New Roman"/>
                <w:color w:val="000000" w:themeColor="text1"/>
                <w:sz w:val="24"/>
                <w14:textFill>
                  <w14:solidFill>
                    <w14:schemeClr w14:val="tx1"/>
                  </w14:solidFill>
                </w14:textFill>
              </w:rPr>
              <w:t>m，轮毂高度1</w:t>
            </w:r>
            <w:r>
              <w:rPr>
                <w:rFonts w:hint="eastAsia" w:eastAsia="宋体"/>
                <w:color w:val="000000" w:themeColor="text1"/>
                <w:sz w:val="24"/>
                <w:lang w:val="en-US" w:eastAsia="zh-CN"/>
                <w14:textFill>
                  <w14:solidFill>
                    <w14:schemeClr w14:val="tx1"/>
                  </w14:solidFill>
                </w14:textFill>
              </w:rPr>
              <w:t>40</w:t>
            </w:r>
            <w:r>
              <w:rPr>
                <w:rFonts w:ascii="Times New Roman" w:hAnsi="Times New Roman" w:eastAsia="Times New Roman"/>
                <w:color w:val="000000" w:themeColor="text1"/>
                <w:sz w:val="24"/>
                <w14:textFill>
                  <w14:solidFill>
                    <w14:schemeClr w14:val="tx1"/>
                  </w14:solidFill>
                </w14:textFill>
              </w:rPr>
              <w:t>m。</w:t>
            </w:r>
            <w:r>
              <w:rPr>
                <w:rFonts w:ascii="Times New Roman" w:hAnsi="Times New Roman"/>
                <w:color w:val="000000" w:themeColor="text1"/>
                <w:sz w:val="23"/>
                <w14:textFill>
                  <w14:solidFill>
                    <w14:schemeClr w14:val="tx1"/>
                  </w14:solidFill>
                </w14:textFill>
              </w:rPr>
              <w:t>风机基础采用钢筋混凝土扩展基础，</w:t>
            </w:r>
            <w:r>
              <w:rPr>
                <w:rFonts w:ascii="Times New Roman" w:hAnsi="Times New Roman"/>
                <w:color w:val="000000" w:themeColor="text1"/>
                <w:sz w:val="24"/>
                <w14:textFill>
                  <w14:solidFill>
                    <w14:schemeClr w14:val="tx1"/>
                  </w14:solidFill>
                </w14:textFill>
              </w:rPr>
              <w:t>风机基础均采用直径约为</w:t>
            </w:r>
            <w:r>
              <w:rPr>
                <w:rFonts w:ascii="Times New Roman" w:hAnsi="Times New Roman" w:eastAsia="TimesNewRomanPSMT"/>
                <w:color w:val="000000" w:themeColor="text1"/>
                <w:sz w:val="24"/>
                <w14:textFill>
                  <w14:solidFill>
                    <w14:schemeClr w14:val="tx1"/>
                  </w14:solidFill>
                </w14:textFill>
              </w:rPr>
              <w:t>1</w:t>
            </w:r>
            <w:r>
              <w:rPr>
                <w:rFonts w:ascii="Times New Roman" w:hAnsi="Times New Roman"/>
                <w:color w:val="000000" w:themeColor="text1"/>
                <w:sz w:val="24"/>
                <w14:textFill>
                  <w14:solidFill>
                    <w14:schemeClr w14:val="tx1"/>
                  </w14:solidFill>
                </w14:textFill>
              </w:rPr>
              <w:t>8</w:t>
            </w:r>
            <w:r>
              <w:rPr>
                <w:rFonts w:ascii="Times New Roman" w:hAnsi="Times New Roman" w:eastAsia="TimesNewRomanPSMT"/>
                <w:color w:val="000000" w:themeColor="text1"/>
                <w:sz w:val="24"/>
                <w14:textFill>
                  <w14:solidFill>
                    <w14:schemeClr w14:val="tx1"/>
                  </w14:solidFill>
                </w14:textFill>
              </w:rPr>
              <w:t>.6m</w:t>
            </w:r>
            <w:r>
              <w:rPr>
                <w:rFonts w:ascii="Times New Roman" w:hAnsi="Times New Roman"/>
                <w:color w:val="000000" w:themeColor="text1"/>
                <w:sz w:val="24"/>
                <w14:textFill>
                  <w14:solidFill>
                    <w14:schemeClr w14:val="tx1"/>
                  </w14:solidFill>
                </w14:textFill>
              </w:rPr>
              <w:t>的圆形钢筋混凝土承台的桩基础。</w:t>
            </w:r>
          </w:p>
          <w:p>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表1-4  基础体型尺寸表</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549"/>
              <w:gridCol w:w="1008"/>
              <w:gridCol w:w="2208"/>
              <w:gridCol w:w="13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73" w:type="pct"/>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项目</w:t>
                  </w:r>
                </w:p>
              </w:tc>
              <w:tc>
                <w:tcPr>
                  <w:tcW w:w="617" w:type="pct"/>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数量</w:t>
                  </w:r>
                </w:p>
              </w:tc>
              <w:tc>
                <w:tcPr>
                  <w:tcW w:w="1352" w:type="pct"/>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项目</w:t>
                  </w:r>
                </w:p>
              </w:tc>
              <w:tc>
                <w:tcPr>
                  <w:tcW w:w="855" w:type="pct"/>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173" w:type="pct"/>
                  <w:tcBorders>
                    <w:tl2br w:val="nil"/>
                    <w:tr2bl w:val="nil"/>
                  </w:tcBorders>
                  <w:vAlign w:val="center"/>
                </w:tcPr>
                <w:p>
                  <w:pPr>
                    <w:pStyle w:val="40"/>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圆形基础底面直径D(m)</w:t>
                  </w:r>
                </w:p>
              </w:tc>
              <w:tc>
                <w:tcPr>
                  <w:tcW w:w="617" w:type="pct"/>
                  <w:tcBorders>
                    <w:tl2br w:val="nil"/>
                    <w:tr2bl w:val="nil"/>
                  </w:tcBorders>
                  <w:vAlign w:val="center"/>
                </w:tcPr>
                <w:p>
                  <w:pPr>
                    <w:pStyle w:val="40"/>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20</w:t>
                  </w:r>
                </w:p>
              </w:tc>
              <w:tc>
                <w:tcPr>
                  <w:tcW w:w="1352" w:type="pct"/>
                  <w:tcBorders>
                    <w:tl2br w:val="nil"/>
                    <w:tr2bl w:val="nil"/>
                  </w:tcBorders>
                  <w:vAlign w:val="center"/>
                </w:tcPr>
                <w:p>
                  <w:pPr>
                    <w:pStyle w:val="40"/>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台柱高度H3(m)</w:t>
                  </w:r>
                </w:p>
              </w:tc>
              <w:tc>
                <w:tcPr>
                  <w:tcW w:w="855" w:type="pct"/>
                  <w:tcBorders>
                    <w:tl2br w:val="nil"/>
                    <w:tr2bl w:val="nil"/>
                  </w:tcBorders>
                  <w:vAlign w:val="center"/>
                </w:tcPr>
                <w:p>
                  <w:pPr>
                    <w:pStyle w:val="40"/>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73" w:type="pct"/>
                  <w:tcBorders>
                    <w:tl2br w:val="nil"/>
                    <w:tr2bl w:val="nil"/>
                  </w:tcBorders>
                  <w:vAlign w:val="center"/>
                </w:tcPr>
                <w:p>
                  <w:pPr>
                    <w:pStyle w:val="40"/>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基础圆台顶面半径为R1(m)</w:t>
                  </w:r>
                </w:p>
              </w:tc>
              <w:tc>
                <w:tcPr>
                  <w:tcW w:w="617" w:type="pct"/>
                  <w:tcBorders>
                    <w:tl2br w:val="nil"/>
                    <w:tr2bl w:val="nil"/>
                  </w:tcBorders>
                  <w:vAlign w:val="center"/>
                </w:tcPr>
                <w:p>
                  <w:pPr>
                    <w:pStyle w:val="40"/>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3.5</w:t>
                  </w:r>
                </w:p>
              </w:tc>
              <w:tc>
                <w:tcPr>
                  <w:tcW w:w="1352" w:type="pct"/>
                  <w:tcBorders>
                    <w:tl2br w:val="nil"/>
                    <w:tr2bl w:val="nil"/>
                  </w:tcBorders>
                  <w:vAlign w:val="center"/>
                </w:tcPr>
                <w:p>
                  <w:pPr>
                    <w:pStyle w:val="40"/>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基础埋深(m)</w:t>
                  </w:r>
                </w:p>
              </w:tc>
              <w:tc>
                <w:tcPr>
                  <w:tcW w:w="855" w:type="pct"/>
                  <w:tcBorders>
                    <w:tl2br w:val="nil"/>
                    <w:tr2bl w:val="nil"/>
                  </w:tcBorders>
                  <w:vAlign w:val="center"/>
                </w:tcPr>
                <w:p>
                  <w:pPr>
                    <w:pStyle w:val="40"/>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73" w:type="pct"/>
                  <w:tcBorders>
                    <w:tl2br w:val="nil"/>
                    <w:tr2bl w:val="nil"/>
                  </w:tcBorders>
                  <w:vAlign w:val="center"/>
                </w:tcPr>
                <w:p>
                  <w:pPr>
                    <w:pStyle w:val="40"/>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基础上台柱半径为R2(m)</w:t>
                  </w:r>
                </w:p>
              </w:tc>
              <w:tc>
                <w:tcPr>
                  <w:tcW w:w="617" w:type="pct"/>
                  <w:tcBorders>
                    <w:tl2br w:val="nil"/>
                    <w:tr2bl w:val="nil"/>
                  </w:tcBorders>
                  <w:vAlign w:val="center"/>
                </w:tcPr>
                <w:p>
                  <w:pPr>
                    <w:pStyle w:val="40"/>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3.5</w:t>
                  </w:r>
                </w:p>
              </w:tc>
              <w:tc>
                <w:tcPr>
                  <w:tcW w:w="1352" w:type="pct"/>
                  <w:tcBorders>
                    <w:tl2br w:val="nil"/>
                    <w:tr2bl w:val="nil"/>
                  </w:tcBorders>
                  <w:vAlign w:val="center"/>
                </w:tcPr>
                <w:p>
                  <w:pPr>
                    <w:pStyle w:val="40"/>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桩数（个）</w:t>
                  </w:r>
                </w:p>
              </w:tc>
              <w:tc>
                <w:tcPr>
                  <w:tcW w:w="855" w:type="pct"/>
                  <w:tcBorders>
                    <w:tl2br w:val="nil"/>
                    <w:tr2bl w:val="nil"/>
                  </w:tcBorders>
                  <w:vAlign w:val="center"/>
                </w:tcPr>
                <w:p>
                  <w:pPr>
                    <w:pStyle w:val="40"/>
                    <w:keepNext w:val="0"/>
                    <w:keepLines w:val="0"/>
                    <w:pageBreakBefore w:val="0"/>
                    <w:widowControl w:val="0"/>
                    <w:kinsoku/>
                    <w:wordWrap/>
                    <w:overflowPunct/>
                    <w:topLinePunct w:val="0"/>
                    <w:bidi w:val="0"/>
                    <w:spacing w:line="240" w:lineRule="auto"/>
                    <w:jc w:val="center"/>
                    <w:textAlignment w:val="auto"/>
                    <w:rPr>
                      <w:rFonts w:hint="eastAsia"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3</w:t>
                  </w:r>
                  <w:r>
                    <w:rPr>
                      <w:rFonts w:hint="eastAsia" w:ascii="Times New Roman" w:hAnsi="Times New Roman"/>
                      <w:color w:val="000000" w:themeColor="text1"/>
                      <w:sz w:val="21"/>
                      <w:szCs w:val="21"/>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73" w:type="pct"/>
                  <w:tcBorders>
                    <w:tl2br w:val="nil"/>
                    <w:tr2bl w:val="nil"/>
                  </w:tcBorders>
                  <w:vAlign w:val="center"/>
                </w:tcPr>
                <w:p>
                  <w:pPr>
                    <w:pStyle w:val="40"/>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基础底板外缘高度H1(m)</w:t>
                  </w:r>
                </w:p>
              </w:tc>
              <w:tc>
                <w:tcPr>
                  <w:tcW w:w="617" w:type="pct"/>
                  <w:tcBorders>
                    <w:tl2br w:val="nil"/>
                    <w:tr2bl w:val="nil"/>
                  </w:tcBorders>
                  <w:vAlign w:val="center"/>
                </w:tcPr>
                <w:p>
                  <w:pPr>
                    <w:pStyle w:val="40"/>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0.7</w:t>
                  </w:r>
                </w:p>
              </w:tc>
              <w:tc>
                <w:tcPr>
                  <w:tcW w:w="1352" w:type="pct"/>
                  <w:tcBorders>
                    <w:tl2br w:val="nil"/>
                    <w:tr2bl w:val="nil"/>
                  </w:tcBorders>
                  <w:vAlign w:val="center"/>
                </w:tcPr>
                <w:p>
                  <w:pPr>
                    <w:pStyle w:val="40"/>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桩身直径(m)</w:t>
                  </w:r>
                </w:p>
              </w:tc>
              <w:tc>
                <w:tcPr>
                  <w:tcW w:w="855" w:type="pct"/>
                  <w:tcBorders>
                    <w:tl2br w:val="nil"/>
                    <w:tr2bl w:val="nil"/>
                  </w:tcBorders>
                  <w:vAlign w:val="center"/>
                </w:tcPr>
                <w:p>
                  <w:pPr>
                    <w:pStyle w:val="40"/>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73" w:type="pct"/>
                  <w:tcBorders>
                    <w:tl2br w:val="nil"/>
                    <w:tr2bl w:val="nil"/>
                  </w:tcBorders>
                  <w:vAlign w:val="center"/>
                </w:tcPr>
                <w:p>
                  <w:pPr>
                    <w:pStyle w:val="40"/>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基础底板圆台高度H2(m)</w:t>
                  </w:r>
                </w:p>
              </w:tc>
              <w:tc>
                <w:tcPr>
                  <w:tcW w:w="617" w:type="pct"/>
                  <w:tcBorders>
                    <w:tl2br w:val="nil"/>
                    <w:tr2bl w:val="nil"/>
                  </w:tcBorders>
                  <w:vAlign w:val="center"/>
                </w:tcPr>
                <w:p>
                  <w:pPr>
                    <w:pStyle w:val="40"/>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1.8</w:t>
                  </w:r>
                </w:p>
              </w:tc>
              <w:tc>
                <w:tcPr>
                  <w:tcW w:w="1352" w:type="pct"/>
                  <w:tcBorders>
                    <w:tl2br w:val="nil"/>
                    <w:tr2bl w:val="nil"/>
                  </w:tcBorders>
                  <w:vAlign w:val="center"/>
                </w:tcPr>
                <w:p>
                  <w:pPr>
                    <w:pStyle w:val="40"/>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桩长(m)</w:t>
                  </w:r>
                </w:p>
              </w:tc>
              <w:tc>
                <w:tcPr>
                  <w:tcW w:w="855" w:type="pct"/>
                  <w:tcBorders>
                    <w:tl2br w:val="nil"/>
                    <w:tr2bl w:val="nil"/>
                  </w:tcBorders>
                  <w:vAlign w:val="center"/>
                </w:tcPr>
                <w:p>
                  <w:pPr>
                    <w:pStyle w:val="40"/>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22</w:t>
                  </w:r>
                </w:p>
              </w:tc>
            </w:tr>
          </w:tbl>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（2）箱式变电站</w:t>
            </w:r>
          </w:p>
          <w:p>
            <w:pPr>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风电机组与箱式变电站组合方式为一机一变方案，即每台风机设一座箱式变电站。本项目共设置</w:t>
            </w:r>
            <w:r>
              <w:rPr>
                <w:rFonts w:hint="eastAsia"/>
                <w:color w:val="000000" w:themeColor="text1"/>
                <w:sz w:val="24"/>
                <w:lang w:val="en-US" w:eastAsia="zh-CN"/>
                <w14:textFill>
                  <w14:solidFill>
                    <w14:schemeClr w14:val="tx1"/>
                  </w14:solidFill>
                </w14:textFill>
              </w:rPr>
              <w:t>8</w:t>
            </w:r>
            <w:r>
              <w:rPr>
                <w:rFonts w:ascii="Times New Roman" w:hAnsi="Times New Roman"/>
                <w:color w:val="000000" w:themeColor="text1"/>
                <w:sz w:val="24"/>
                <w14:textFill>
                  <w14:solidFill>
                    <w14:schemeClr w14:val="tx1"/>
                  </w14:solidFill>
                </w14:textFill>
              </w:rPr>
              <w:t>台油浸式三相双卷自冷式升压变压器，型号ZGS</w:t>
            </w:r>
            <w:r>
              <w:rPr>
                <w:rFonts w:hint="eastAsia"/>
                <w:color w:val="000000" w:themeColor="text1"/>
                <w:sz w:val="24"/>
                <w:lang w:val="en-US" w:eastAsia="zh-CN"/>
                <w14:textFill>
                  <w14:solidFill>
                    <w14:schemeClr w14:val="tx1"/>
                  </w14:solidFill>
                </w14:textFill>
              </w:rPr>
              <w:t>11</w:t>
            </w:r>
            <w:r>
              <w:rPr>
                <w:rFonts w:ascii="Times New Roman" w:hAnsi="Times New Roman"/>
                <w:color w:val="000000" w:themeColor="text1"/>
                <w:sz w:val="24"/>
                <w14:textFill>
                  <w14:solidFill>
                    <w14:schemeClr w14:val="tx1"/>
                  </w14:solidFill>
                </w14:textFill>
              </w:rPr>
              <w:t>-2750/35</w:t>
            </w:r>
            <w:r>
              <w:rPr>
                <w:rFonts w:hint="eastAsia" w:ascii="Times New Roman" w:hAnsi="Times New Roman"/>
                <w:color w:val="000000" w:themeColor="text1"/>
                <w:sz w:val="24"/>
                <w:lang w:val="en-US"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箱式变电站容量为</w:t>
            </w:r>
            <w:r>
              <w:rPr>
                <w:rFonts w:hint="eastAsia"/>
                <w:color w:val="000000" w:themeColor="text1"/>
                <w:sz w:val="24"/>
                <w:lang w:val="en-US" w:eastAsia="zh-CN"/>
                <w14:textFill>
                  <w14:solidFill>
                    <w14:schemeClr w14:val="tx1"/>
                  </w14:solidFill>
                </w14:textFill>
              </w:rPr>
              <w:t>2750</w:t>
            </w:r>
            <w:r>
              <w:rPr>
                <w:rFonts w:ascii="Times New Roman" w:hAnsi="Times New Roman"/>
                <w:color w:val="000000" w:themeColor="text1"/>
                <w:sz w:val="24"/>
                <w14:textFill>
                  <w14:solidFill>
                    <w14:schemeClr w14:val="tx1"/>
                  </w14:solidFill>
                </w14:textFill>
              </w:rPr>
              <w:t>kVA</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箱式变电站基础为混凝土基础，砌体结构，</w:t>
            </w:r>
            <w:r>
              <w:rPr>
                <w:rFonts w:hint="eastAsia"/>
                <w:color w:val="000000" w:themeColor="text1"/>
                <w:sz w:val="24"/>
                <w:lang w:val="en-US" w:eastAsia="zh-CN"/>
                <w14:textFill>
                  <w14:solidFill>
                    <w14:schemeClr w14:val="tx1"/>
                  </w14:solidFill>
                </w14:textFill>
              </w:rPr>
              <w:t>基础尺寸为5</w:t>
            </w:r>
            <w:r>
              <w:rPr>
                <w:rFonts w:ascii="Times New Roman" w:hAnsi="Times New Roman"/>
                <w:color w:val="000000" w:themeColor="text1"/>
                <w:sz w:val="24"/>
                <w14:textFill>
                  <w14:solidFill>
                    <w14:schemeClr w14:val="tx1"/>
                  </w14:solidFill>
                </w14:textFill>
              </w:rPr>
              <w:t>m×2.</w:t>
            </w:r>
            <w:r>
              <w:rPr>
                <w:rFonts w:hint="eastAsia"/>
                <w:color w:val="000000" w:themeColor="text1"/>
                <w:sz w:val="24"/>
                <w:lang w:val="en-US" w:eastAsia="zh-CN"/>
                <w14:textFill>
                  <w14:solidFill>
                    <w14:schemeClr w14:val="tx1"/>
                  </w14:solidFill>
                </w14:textFill>
              </w:rPr>
              <w:t>5</w:t>
            </w:r>
            <w:r>
              <w:rPr>
                <w:rFonts w:ascii="Times New Roman" w:hAnsi="Times New Roman"/>
                <w:color w:val="000000" w:themeColor="text1"/>
                <w:sz w:val="24"/>
                <w14:textFill>
                  <w14:solidFill>
                    <w14:schemeClr w14:val="tx1"/>
                  </w14:solidFill>
                </w14:textFill>
              </w:rPr>
              <w:t>5m×1.</w:t>
            </w:r>
            <w:r>
              <w:rPr>
                <w:rFonts w:hint="eastAsia"/>
                <w:color w:val="000000" w:themeColor="text1"/>
                <w:sz w:val="24"/>
                <w:lang w:val="en-US" w:eastAsia="zh-CN"/>
                <w14:textFill>
                  <w14:solidFill>
                    <w14:schemeClr w14:val="tx1"/>
                  </w14:solidFill>
                </w14:textFill>
              </w:rPr>
              <w:t>75</w:t>
            </w:r>
            <w:r>
              <w:rPr>
                <w:rFonts w:ascii="Times New Roman" w:hAnsi="Times New Roman"/>
                <w:color w:val="000000" w:themeColor="text1"/>
                <w:sz w:val="24"/>
                <w14:textFill>
                  <w14:solidFill>
                    <w14:schemeClr w14:val="tx1"/>
                  </w14:solidFill>
                </w14:textFill>
              </w:rPr>
              <w:t>m（长×宽×高），其中埋深1.</w:t>
            </w:r>
            <w:r>
              <w:rPr>
                <w:rFonts w:hint="eastAsia"/>
                <w:color w:val="000000" w:themeColor="text1"/>
                <w:sz w:val="24"/>
                <w:lang w:val="en-US" w:eastAsia="zh-CN"/>
                <w14:textFill>
                  <w14:solidFill>
                    <w14:schemeClr w14:val="tx1"/>
                  </w14:solidFill>
                </w14:textFill>
              </w:rPr>
              <w:t>75</w:t>
            </w:r>
            <w:r>
              <w:rPr>
                <w:rFonts w:ascii="Times New Roman" w:hAnsi="Times New Roman"/>
                <w:color w:val="000000" w:themeColor="text1"/>
                <w:sz w:val="24"/>
                <w14:textFill>
                  <w14:solidFill>
                    <w14:schemeClr w14:val="tx1"/>
                  </w14:solidFill>
                </w14:textFill>
              </w:rPr>
              <w:t>m，地上0.</w:t>
            </w:r>
            <w:r>
              <w:rPr>
                <w:rFonts w:hint="eastAsia"/>
                <w:color w:val="000000" w:themeColor="text1"/>
                <w:sz w:val="24"/>
                <w:lang w:val="en-US" w:eastAsia="zh-CN"/>
                <w14:textFill>
                  <w14:solidFill>
                    <w14:schemeClr w14:val="tx1"/>
                  </w14:solidFill>
                </w14:textFill>
              </w:rPr>
              <w:t>2</w:t>
            </w:r>
            <w:r>
              <w:rPr>
                <w:rFonts w:ascii="Times New Roman" w:hAnsi="Times New Roman"/>
                <w:color w:val="000000" w:themeColor="text1"/>
                <w:sz w:val="24"/>
                <w14:textFill>
                  <w14:solidFill>
                    <w14:schemeClr w14:val="tx1"/>
                  </w14:solidFill>
                </w14:textFill>
              </w:rPr>
              <w:t>m，箱变均直接搁置在C25钢筋混凝土基础上。</w:t>
            </w:r>
          </w:p>
          <w:p>
            <w:pPr>
              <w:spacing w:line="360" w:lineRule="auto"/>
              <w:ind w:firstLine="480" w:firstLineChars="200"/>
              <w:jc w:val="left"/>
              <w:rPr>
                <w:rFonts w:hint="default" w:ascii="Times New Roman" w:hAnsi="Times New Roman" w:eastAsia="宋体"/>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（3）</w:t>
            </w:r>
            <w:r>
              <w:rPr>
                <w:rFonts w:hint="eastAsia"/>
                <w:color w:val="000000" w:themeColor="text1"/>
                <w:sz w:val="24"/>
                <w:lang w:val="en-US" w:eastAsia="zh-CN"/>
                <w14:textFill>
                  <w14:solidFill>
                    <w14:schemeClr w14:val="tx1"/>
                  </w14:solidFill>
                </w14:textFill>
              </w:rPr>
              <w:t>35kV开关站</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w:t>
            </w:r>
            <w:r>
              <w:rPr>
                <w:rFonts w:hint="eastAsia"/>
                <w:color w:val="000000" w:themeColor="text1"/>
                <w:sz w:val="24"/>
                <w:lang w:val="en-US" w:eastAsia="zh-CN"/>
                <w14:textFill>
                  <w14:solidFill>
                    <w14:schemeClr w14:val="tx1"/>
                  </w14:solidFill>
                </w14:textFill>
              </w:rPr>
              <w:t>设置35kV开关站1座</w:t>
            </w:r>
            <w:r>
              <w:rPr>
                <w:rFonts w:ascii="Times New Roman" w:hAnsi="Times New Roman"/>
                <w:color w:val="000000" w:themeColor="text1"/>
                <w:sz w:val="24"/>
                <w14:textFill>
                  <w14:solidFill>
                    <w14:schemeClr w14:val="tx1"/>
                  </w14:solidFill>
                </w14:textFill>
              </w:rPr>
              <w:t>，占地面积为</w:t>
            </w:r>
            <w:r>
              <w:rPr>
                <w:rFonts w:hint="eastAsia"/>
                <w:color w:val="000000" w:themeColor="text1"/>
                <w:sz w:val="24"/>
                <w:lang w:val="en-US" w:eastAsia="zh-CN"/>
                <w14:textFill>
                  <w14:solidFill>
                    <w14:schemeClr w14:val="tx1"/>
                  </w14:solidFill>
                </w14:textFill>
              </w:rPr>
              <w:t>756</w:t>
            </w:r>
            <w:r>
              <w:rPr>
                <w:rFonts w:ascii="Times New Roman" w:hAnsi="Times New Roman"/>
                <w:color w:val="000000" w:themeColor="text1"/>
                <w:sz w:val="24"/>
                <w14:textFill>
                  <w14:solidFill>
                    <w14:schemeClr w14:val="tx1"/>
                  </w14:solidFill>
                </w14:textFill>
              </w:rPr>
              <w:t>m</w:t>
            </w:r>
            <w:r>
              <w:rPr>
                <w:rFonts w:ascii="Times New Roman" w:hAnsi="Times New Roman"/>
                <w:color w:val="000000" w:themeColor="text1"/>
                <w:sz w:val="24"/>
                <w:vertAlign w:val="superscript"/>
                <w14:textFill>
                  <w14:solidFill>
                    <w14:schemeClr w14:val="tx1"/>
                  </w14:solidFill>
                </w14:textFill>
              </w:rPr>
              <w:t>2</w:t>
            </w:r>
            <w:r>
              <w:rPr>
                <w:rFonts w:hint="eastAsia"/>
                <w:color w:val="000000" w:themeColor="text1"/>
                <w:sz w:val="24"/>
                <w:vertAlign w:val="baseline"/>
                <w:lang w:eastAsia="zh-CN"/>
                <w14:textFill>
                  <w14:solidFill>
                    <w14:schemeClr w14:val="tx1"/>
                  </w14:solidFill>
                </w14:textFill>
              </w:rPr>
              <w:t>（</w:t>
            </w:r>
            <w:r>
              <w:rPr>
                <w:rFonts w:hint="eastAsia"/>
                <w:color w:val="000000" w:themeColor="text1"/>
                <w:sz w:val="24"/>
                <w:vertAlign w:val="baseline"/>
                <w:lang w:val="en-US" w:eastAsia="zh-CN"/>
                <w14:textFill>
                  <w14:solidFill>
                    <w14:schemeClr w14:val="tx1"/>
                  </w14:solidFill>
                </w14:textFill>
              </w:rPr>
              <w:t>31.5m</w:t>
            </w:r>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24m</w:t>
            </w:r>
            <w:r>
              <w:rPr>
                <w:rFonts w:hint="eastAsia"/>
                <w:color w:val="000000" w:themeColor="text1"/>
                <w:sz w:val="24"/>
                <w:vertAlign w:val="baseline"/>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站内主要设置SVG预制舱、一二次预制舱和危险废物暂存间等构筑物。35kV开关站</w:t>
            </w:r>
            <w:r>
              <w:rPr>
                <w:rFonts w:ascii="Times New Roman" w:hAnsi="Times New Roman"/>
                <w:color w:val="000000" w:themeColor="text1"/>
                <w:sz w:val="24"/>
                <w14:textFill>
                  <w14:solidFill>
                    <w14:schemeClr w14:val="tx1"/>
                  </w14:solidFill>
                </w14:textFill>
              </w:rPr>
              <w:t>平面布置见附图3。</w:t>
            </w:r>
          </w:p>
          <w:p>
            <w:pPr>
              <w:spacing w:line="360" w:lineRule="auto"/>
              <w:ind w:firstLine="480" w:firstLineChars="200"/>
              <w:jc w:val="left"/>
              <w:rPr>
                <w:rFonts w:hint="eastAsia" w:ascii="Times New Roman" w:hAnsi="Times New Roman" w:eastAsia="宋体"/>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集电线路</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根据风机分布情况，</w:t>
            </w:r>
            <w:r>
              <w:rPr>
                <w:rFonts w:hint="eastAsia" w:ascii="Times New Roman" w:hAnsi="Times New Roman"/>
                <w:color w:val="000000" w:themeColor="text1"/>
                <w:sz w:val="24"/>
                <w:lang w:val="en-US" w:eastAsia="zh-CN"/>
                <w14:textFill>
                  <w14:solidFill>
                    <w14:schemeClr w14:val="tx1"/>
                  </w14:solidFill>
                </w14:textFill>
              </w:rPr>
              <w:t>设计</w:t>
            </w:r>
            <w:r>
              <w:rPr>
                <w:rFonts w:hint="eastAsia"/>
                <w:color w:val="000000" w:themeColor="text1"/>
                <w:sz w:val="24"/>
                <w:lang w:val="en-US" w:eastAsia="zh-CN"/>
                <w14:textFill>
                  <w14:solidFill>
                    <w14:schemeClr w14:val="tx1"/>
                  </w14:solidFill>
                </w14:textFill>
              </w:rPr>
              <w:t>1</w:t>
            </w:r>
            <w:r>
              <w:rPr>
                <w:rFonts w:hint="eastAsia" w:ascii="Times New Roman" w:hAnsi="Times New Roman"/>
                <w:color w:val="000000" w:themeColor="text1"/>
                <w:sz w:val="24"/>
                <w:lang w:val="en-US" w:eastAsia="zh-CN"/>
                <w14:textFill>
                  <w14:solidFill>
                    <w14:schemeClr w14:val="tx1"/>
                  </w14:solidFill>
                </w14:textFill>
              </w:rPr>
              <w:t>回35kV集电线路分别连接</w:t>
            </w:r>
            <w:r>
              <w:rPr>
                <w:rFonts w:hint="eastAsia"/>
                <w:color w:val="000000" w:themeColor="text1"/>
                <w:sz w:val="24"/>
                <w:lang w:val="en-US" w:eastAsia="zh-CN"/>
                <w14:textFill>
                  <w14:solidFill>
                    <w14:schemeClr w14:val="tx1"/>
                  </w14:solidFill>
                </w14:textFill>
              </w:rPr>
              <w:t>8</w:t>
            </w:r>
            <w:r>
              <w:rPr>
                <w:rFonts w:hint="eastAsia" w:ascii="Times New Roman" w:hAnsi="Times New Roman"/>
                <w:color w:val="000000" w:themeColor="text1"/>
                <w:sz w:val="24"/>
                <w:lang w:val="en-US" w:eastAsia="zh-CN"/>
                <w14:textFill>
                  <w14:solidFill>
                    <w14:schemeClr w14:val="tx1"/>
                  </w14:solidFill>
                </w14:textFill>
              </w:rPr>
              <w:t>台箱式变，容量为</w:t>
            </w:r>
            <w:r>
              <w:rPr>
                <w:rFonts w:hint="eastAsia"/>
                <w:color w:val="000000" w:themeColor="text1"/>
                <w:sz w:val="24"/>
                <w:lang w:val="en-US" w:eastAsia="zh-CN"/>
                <w14:textFill>
                  <w14:solidFill>
                    <w14:schemeClr w14:val="tx1"/>
                  </w14:solidFill>
                </w14:textFill>
              </w:rPr>
              <w:t>20</w:t>
            </w:r>
            <w:r>
              <w:rPr>
                <w:rFonts w:hint="eastAsia" w:ascii="Times New Roman" w:hAnsi="Times New Roman"/>
                <w:color w:val="000000" w:themeColor="text1"/>
                <w:sz w:val="24"/>
                <w:lang w:val="en-US" w:eastAsia="zh-CN"/>
                <w14:textFill>
                  <w14:solidFill>
                    <w14:schemeClr w14:val="tx1"/>
                  </w14:solidFill>
                </w14:textFill>
              </w:rPr>
              <w:t>MW。拟建35kV线路由各风机相变电缆出线，至电缆终端塔后改架空至拟建</w:t>
            </w:r>
            <w:r>
              <w:rPr>
                <w:rFonts w:hint="eastAsia"/>
                <w:color w:val="000000" w:themeColor="text1"/>
                <w:sz w:val="24"/>
                <w:lang w:val="en-US" w:eastAsia="zh-CN"/>
                <w14:textFill>
                  <w14:solidFill>
                    <w14:schemeClr w14:val="tx1"/>
                  </w14:solidFill>
                </w14:textFill>
              </w:rPr>
              <w:t>35kV开关站。全线采用铁塔架设，架空线路全长为18.7km，</w:t>
            </w:r>
            <w:r>
              <w:rPr>
                <w:rFonts w:hint="eastAsia" w:ascii="Times New Roman" w:hAnsi="Times New Roman"/>
                <w:color w:val="000000" w:themeColor="text1"/>
                <w:sz w:val="24"/>
                <w:lang w:val="en-US" w:eastAsia="zh-CN"/>
                <w14:textFill>
                  <w14:solidFill>
                    <w14:schemeClr w14:val="tx1"/>
                  </w14:solidFill>
                </w14:textFill>
              </w:rPr>
              <w:t>电缆直埋长度</w:t>
            </w:r>
            <w:r>
              <w:rPr>
                <w:rFonts w:hint="eastAsia"/>
                <w:color w:val="000000" w:themeColor="text1"/>
                <w:sz w:val="24"/>
                <w:lang w:val="en-US" w:eastAsia="zh-CN"/>
                <w14:textFill>
                  <w14:solidFill>
                    <w14:schemeClr w14:val="tx1"/>
                  </w14:solidFill>
                </w14:textFill>
              </w:rPr>
              <w:t>1</w:t>
            </w:r>
            <w:r>
              <w:rPr>
                <w:rFonts w:hint="eastAsia" w:ascii="Times New Roman" w:hAnsi="Times New Roman"/>
                <w:color w:val="000000" w:themeColor="text1"/>
                <w:sz w:val="24"/>
                <w:lang w:val="en-US" w:eastAsia="zh-CN"/>
                <w14:textFill>
                  <w14:solidFill>
                    <w14:schemeClr w14:val="tx1"/>
                  </w14:solidFill>
                </w14:textFill>
              </w:rPr>
              <w:t>km</w:t>
            </w:r>
            <w:r>
              <w:rPr>
                <w:rFonts w:hint="eastAsia"/>
                <w:color w:val="000000" w:themeColor="text1"/>
                <w:sz w:val="24"/>
                <w:lang w:val="en-US" w:eastAsia="zh-CN"/>
                <w14:textFill>
                  <w14:solidFill>
                    <w14:schemeClr w14:val="tx1"/>
                  </w14:solidFill>
                </w14:textFill>
              </w:rPr>
              <w:t>。架空集电线路</w:t>
            </w:r>
            <w:r>
              <w:rPr>
                <w:rFonts w:ascii="Times New Roman" w:hAnsi="Times New Roman"/>
                <w:color w:val="000000" w:themeColor="text1"/>
                <w:sz w:val="24"/>
                <w14:textFill>
                  <w14:solidFill>
                    <w14:schemeClr w14:val="tx1"/>
                  </w14:solidFill>
                </w14:textFill>
              </w:rPr>
              <w:t>采用平均档距</w:t>
            </w:r>
            <w:r>
              <w:rPr>
                <w:rFonts w:hint="eastAsia"/>
                <w:color w:val="000000" w:themeColor="text1"/>
                <w:sz w:val="24"/>
                <w:lang w:val="en-US" w:eastAsia="zh-CN"/>
                <w14:textFill>
                  <w14:solidFill>
                    <w14:schemeClr w14:val="tx1"/>
                  </w14:solidFill>
                </w14:textFill>
              </w:rPr>
              <w:t>270</w:t>
            </w:r>
            <w:r>
              <w:rPr>
                <w:rFonts w:ascii="Times New Roman" w:hAnsi="Times New Roman"/>
                <w:color w:val="000000" w:themeColor="text1"/>
                <w:sz w:val="24"/>
                <w14:textFill>
                  <w14:solidFill>
                    <w14:schemeClr w14:val="tx1"/>
                  </w14:solidFill>
                </w14:textFill>
              </w:rPr>
              <w:t>m，全线路共需铁塔</w:t>
            </w:r>
            <w:r>
              <w:rPr>
                <w:rFonts w:hint="eastAsia"/>
                <w:color w:val="000000" w:themeColor="text1"/>
                <w:sz w:val="24"/>
                <w:lang w:val="en-US" w:eastAsia="zh-CN"/>
                <w14:textFill>
                  <w14:solidFill>
                    <w14:schemeClr w14:val="tx1"/>
                  </w14:solidFill>
                </w14:textFill>
              </w:rPr>
              <w:t>63</w:t>
            </w:r>
            <w:r>
              <w:rPr>
                <w:rFonts w:ascii="Times New Roman" w:hAnsi="Times New Roman"/>
                <w:color w:val="000000" w:themeColor="text1"/>
                <w:sz w:val="24"/>
                <w14:textFill>
                  <w14:solidFill>
                    <w14:schemeClr w14:val="tx1"/>
                  </w14:solidFill>
                </w14:textFill>
              </w:rPr>
              <w:t>基。</w:t>
            </w:r>
          </w:p>
          <w:p>
            <w:pPr>
              <w:spacing w:line="360" w:lineRule="auto"/>
              <w:ind w:firstLine="420"/>
              <w:rPr>
                <w:rFonts w:ascii="Times New Roman" w:hAnsi="Times New Roman"/>
                <w:color w:val="000000" w:themeColor="text1"/>
                <w:sz w:val="24"/>
                <w14:textFill>
                  <w14:solidFill>
                    <w14:schemeClr w14:val="tx1"/>
                  </w14:solidFill>
                </w14:textFill>
              </w:rPr>
            </w:pPr>
            <w:bookmarkStart w:id="4" w:name="_Hlk58323704"/>
            <w:r>
              <w:rPr>
                <w:rFonts w:hint="eastAsia"/>
                <w:color w:val="000000" w:themeColor="text1"/>
                <w:sz w:val="24"/>
                <w:lang w:val="en-US" w:eastAsia="zh-CN"/>
                <w14:textFill>
                  <w14:solidFill>
                    <w14:schemeClr w14:val="tx1"/>
                  </w14:solidFill>
                </w14:textFill>
              </w:rPr>
              <w:t>本次评价35kV开关站拟</w:t>
            </w:r>
            <w:r>
              <w:rPr>
                <w:rFonts w:hint="eastAsia" w:ascii="Times New Roman" w:hAnsi="Times New Roman" w:eastAsia="Times New Roman"/>
                <w:color w:val="000000" w:themeColor="text1"/>
                <w:sz w:val="24"/>
                <w:lang w:val="en-US" w:eastAsia="zh-CN"/>
                <w14:textFill>
                  <w14:solidFill>
                    <w14:schemeClr w14:val="tx1"/>
                  </w14:solidFill>
                </w14:textFill>
              </w:rPr>
              <w:t>以</w:t>
            </w:r>
            <w:r>
              <w:rPr>
                <w:rFonts w:ascii="Times New Roman" w:hAnsi="Times New Roman" w:eastAsia="Times New Roman"/>
                <w:color w:val="000000" w:themeColor="text1"/>
                <w:sz w:val="24"/>
                <w:lang w:val="en-US" w:eastAsia="zh-CN"/>
                <w14:textFill>
                  <w14:solidFill>
                    <w14:schemeClr w14:val="tx1"/>
                  </w14:solidFill>
                </w14:textFill>
              </w:rPr>
              <w:t>1</w:t>
            </w:r>
            <w:r>
              <w:rPr>
                <w:rFonts w:hint="eastAsia" w:ascii="Times New Roman" w:hAnsi="Times New Roman" w:eastAsia="Times New Roman"/>
                <w:color w:val="000000" w:themeColor="text1"/>
                <w:sz w:val="24"/>
                <w:lang w:val="en-US" w:eastAsia="zh-CN"/>
                <w14:textFill>
                  <w14:solidFill>
                    <w14:schemeClr w14:val="tx1"/>
                  </w14:solidFill>
                </w14:textFill>
              </w:rPr>
              <w:t>回</w:t>
            </w:r>
            <w:r>
              <w:rPr>
                <w:rFonts w:hint="default" w:ascii="Times New Roman" w:hAnsi="Times New Roman" w:eastAsia="Times New Roman"/>
                <w:color w:val="000000" w:themeColor="text1"/>
                <w:sz w:val="24"/>
                <w:lang w:val="en-US" w:eastAsia="zh-CN"/>
                <w14:textFill>
                  <w14:solidFill>
                    <w14:schemeClr w14:val="tx1"/>
                  </w14:solidFill>
                </w14:textFill>
              </w:rPr>
              <w:t>35kV</w:t>
            </w:r>
            <w:r>
              <w:rPr>
                <w:rFonts w:hint="eastAsia" w:ascii="Times New Roman" w:hAnsi="Times New Roman" w:eastAsia="Times New Roman"/>
                <w:color w:val="000000" w:themeColor="text1"/>
                <w:sz w:val="24"/>
                <w:lang w:val="en-US" w:eastAsia="zh-CN"/>
                <w14:textFill>
                  <w14:solidFill>
                    <w14:schemeClr w14:val="tx1"/>
                  </w14:solidFill>
                </w14:textFill>
              </w:rPr>
              <w:t>架空线路就近接入安里</w:t>
            </w:r>
            <w:r>
              <w:rPr>
                <w:rFonts w:hint="default" w:ascii="Times New Roman" w:hAnsi="Times New Roman" w:eastAsia="Times New Roman"/>
                <w:color w:val="000000" w:themeColor="text1"/>
                <w:sz w:val="24"/>
                <w:lang w:val="en-US" w:eastAsia="zh-CN"/>
                <w14:textFill>
                  <w14:solidFill>
                    <w14:schemeClr w14:val="tx1"/>
                  </w14:solidFill>
                </w14:textFill>
              </w:rPr>
              <w:t>110kV</w:t>
            </w:r>
            <w:r>
              <w:rPr>
                <w:rFonts w:hint="eastAsia" w:ascii="Times New Roman" w:hAnsi="Times New Roman" w:eastAsia="Times New Roman"/>
                <w:color w:val="000000" w:themeColor="text1"/>
                <w:sz w:val="24"/>
                <w:lang w:val="en-US" w:eastAsia="zh-CN"/>
                <w14:textFill>
                  <w14:solidFill>
                    <w14:schemeClr w14:val="tx1"/>
                  </w14:solidFill>
                </w14:textFill>
              </w:rPr>
              <w:t>变电站</w:t>
            </w:r>
            <w:r>
              <w:rPr>
                <w:rFonts w:hint="default" w:ascii="Times New Roman" w:hAnsi="Times New Roman" w:eastAsia="Times New Roman"/>
                <w:color w:val="000000" w:themeColor="text1"/>
                <w:sz w:val="24"/>
                <w:lang w:val="en-US" w:eastAsia="zh-CN"/>
                <w14:textFill>
                  <w14:solidFill>
                    <w14:schemeClr w14:val="tx1"/>
                  </w14:solidFill>
                </w14:textFill>
              </w:rPr>
              <w:t>35kV</w:t>
            </w:r>
            <w:r>
              <w:rPr>
                <w:rFonts w:hint="eastAsia" w:ascii="Times New Roman" w:hAnsi="Times New Roman" w:eastAsia="Times New Roman"/>
                <w:color w:val="000000" w:themeColor="text1"/>
                <w:sz w:val="24"/>
                <w:lang w:val="en-US" w:eastAsia="zh-CN"/>
                <w14:textFill>
                  <w14:solidFill>
                    <w14:schemeClr w14:val="tx1"/>
                  </w14:solidFill>
                </w14:textFill>
              </w:rPr>
              <w:t>侧</w:t>
            </w:r>
            <w:r>
              <w:rPr>
                <w:rFonts w:ascii="Times New Roman" w:hAnsi="Times New Roman"/>
                <w:color w:val="000000" w:themeColor="text1"/>
                <w:sz w:val="24"/>
                <w14:textFill>
                  <w14:solidFill>
                    <w14:schemeClr w14:val="tx1"/>
                  </w14:solidFill>
                </w14:textFill>
              </w:rPr>
              <w:t>，不在本次评价范围内。</w:t>
            </w:r>
          </w:p>
          <w:bookmarkEnd w:id="4"/>
          <w:p>
            <w:pPr>
              <w:spacing w:line="360" w:lineRule="auto"/>
              <w:ind w:firstLine="480" w:firstLineChars="200"/>
              <w:jc w:val="left"/>
              <w:rPr>
                <w:rFonts w:hint="default" w:ascii="Times New Roman" w:hAnsi="Times New Roman" w:eastAsia="宋体"/>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5</w:t>
            </w:r>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项目道路设置</w:t>
            </w:r>
          </w:p>
          <w:p>
            <w:pPr>
              <w:spacing w:line="360" w:lineRule="auto"/>
              <w:ind w:firstLine="420"/>
              <w:rPr>
                <w:rFonts w:ascii="Times New Roman" w:hAnsi="Times New Roman"/>
                <w:color w:val="000000" w:themeColor="text1"/>
                <w:sz w:val="24"/>
                <w14:textFill>
                  <w14:solidFill>
                    <w14:schemeClr w14:val="tx1"/>
                  </w14:solidFill>
                </w14:textFill>
              </w:rPr>
            </w:pPr>
            <w:bookmarkStart w:id="5" w:name="_Hlk58323265"/>
            <w:r>
              <w:rPr>
                <w:rFonts w:ascii="Times New Roman" w:hAnsi="Times New Roman"/>
                <w:color w:val="000000" w:themeColor="text1"/>
                <w:sz w:val="24"/>
                <w14:textFill>
                  <w14:solidFill>
                    <w14:schemeClr w14:val="tx1"/>
                  </w14:solidFill>
                </w14:textFill>
              </w:rPr>
              <w:t>进场道路：本项目部分风电机组大件设备通过</w:t>
            </w:r>
            <w:r>
              <w:rPr>
                <w:rFonts w:hint="eastAsia"/>
                <w:color w:val="000000" w:themeColor="text1"/>
                <w:sz w:val="24"/>
                <w:lang w:val="en-US" w:eastAsia="zh-CN"/>
                <w14:textFill>
                  <w14:solidFill>
                    <w14:schemeClr w14:val="tx1"/>
                  </w14:solidFill>
                </w14:textFill>
              </w:rPr>
              <w:t>S202</w:t>
            </w:r>
            <w:r>
              <w:rPr>
                <w:rFonts w:ascii="Times New Roman" w:hAnsi="Times New Roman"/>
                <w:color w:val="000000" w:themeColor="text1"/>
                <w:sz w:val="24"/>
                <w14:textFill>
                  <w14:solidFill>
                    <w14:schemeClr w14:val="tx1"/>
                  </w14:solidFill>
                </w14:textFill>
              </w:rPr>
              <w:t>进入风场，通过4.5-5.</w:t>
            </w:r>
            <w:r>
              <w:rPr>
                <w:rFonts w:hint="eastAsia"/>
                <w:color w:val="000000" w:themeColor="text1"/>
                <w:sz w:val="24"/>
                <w:lang w:val="en-US" w:eastAsia="zh-CN"/>
                <w14:textFill>
                  <w14:solidFill>
                    <w14:schemeClr w14:val="tx1"/>
                  </w14:solidFill>
                </w14:textFill>
              </w:rPr>
              <w:t>0</w:t>
            </w:r>
            <w:r>
              <w:rPr>
                <w:rFonts w:ascii="Times New Roman" w:hAnsi="Times New Roman"/>
                <w:color w:val="000000" w:themeColor="text1"/>
                <w:sz w:val="24"/>
                <w14:textFill>
                  <w14:solidFill>
                    <w14:schemeClr w14:val="tx1"/>
                  </w14:solidFill>
                </w14:textFill>
              </w:rPr>
              <w:t>m宽水泥混凝土的乡道、村道转至风场新建及改建道路。</w:t>
            </w:r>
          </w:p>
          <w:bookmarkEnd w:id="5"/>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场内道路：场内道路为风电场新建及改建道路</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新建道路总长度约</w:t>
            </w:r>
            <w:r>
              <w:rPr>
                <w:rFonts w:hint="eastAsia"/>
                <w:color w:val="000000" w:themeColor="text1"/>
                <w:sz w:val="24"/>
                <w:lang w:val="en-US" w:eastAsia="zh-CN"/>
                <w14:textFill>
                  <w14:solidFill>
                    <w14:schemeClr w14:val="tx1"/>
                  </w14:solidFill>
                </w14:textFill>
              </w:rPr>
              <w:t>2.651</w:t>
            </w:r>
            <w:r>
              <w:rPr>
                <w:rFonts w:ascii="Times New Roman" w:hAnsi="Times New Roman"/>
                <w:color w:val="000000" w:themeColor="text1"/>
                <w:sz w:val="24"/>
                <w14:textFill>
                  <w14:solidFill>
                    <w14:schemeClr w14:val="tx1"/>
                  </w14:solidFill>
                </w14:textFill>
              </w:rPr>
              <w:t>km</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改造道路总长度约</w:t>
            </w:r>
            <w:r>
              <w:rPr>
                <w:rFonts w:hint="eastAsia"/>
                <w:color w:val="000000" w:themeColor="text1"/>
                <w:sz w:val="24"/>
                <w:lang w:val="en-US" w:eastAsia="zh-CN"/>
                <w14:textFill>
                  <w14:solidFill>
                    <w14:schemeClr w14:val="tx1"/>
                  </w14:solidFill>
                </w14:textFill>
              </w:rPr>
              <w:t>2.77</w:t>
            </w:r>
            <w:r>
              <w:rPr>
                <w:rFonts w:ascii="Times New Roman" w:hAnsi="Times New Roman"/>
                <w:color w:val="000000" w:themeColor="text1"/>
                <w:sz w:val="24"/>
                <w14:textFill>
                  <w14:solidFill>
                    <w14:schemeClr w14:val="tx1"/>
                  </w14:solidFill>
                </w14:textFill>
              </w:rPr>
              <w:t>km。道路路基宽5.</w:t>
            </w:r>
            <w:r>
              <w:rPr>
                <w:rFonts w:hint="eastAsia"/>
                <w:color w:val="000000" w:themeColor="text1"/>
                <w:sz w:val="24"/>
                <w:lang w:val="en-US" w:eastAsia="zh-CN"/>
                <w14:textFill>
                  <w14:solidFill>
                    <w14:schemeClr w14:val="tx1"/>
                  </w14:solidFill>
                </w14:textFill>
              </w:rPr>
              <w:t>0</w:t>
            </w:r>
            <w:r>
              <w:rPr>
                <w:rFonts w:ascii="Times New Roman" w:hAnsi="Times New Roman"/>
                <w:color w:val="000000" w:themeColor="text1"/>
                <w:sz w:val="24"/>
                <w14:textFill>
                  <w14:solidFill>
                    <w14:schemeClr w14:val="tx1"/>
                  </w14:solidFill>
                </w14:textFill>
              </w:rPr>
              <w:t>m，路面宽4.5m，采用3cm厚磨耗层，18cm厚泥结碎石路面结构，平曲线和最小转弯半径应满足风电机长叶片运输要求，最小转弯半径为3</w:t>
            </w:r>
            <w:r>
              <w:rPr>
                <w:rFonts w:hint="eastAsia"/>
                <w:color w:val="000000" w:themeColor="text1"/>
                <w:sz w:val="24"/>
                <w:lang w:val="en-US" w:eastAsia="zh-CN"/>
                <w14:textFill>
                  <w14:solidFill>
                    <w14:schemeClr w14:val="tx1"/>
                  </w14:solidFill>
                </w14:textFill>
              </w:rPr>
              <w:t>5</w:t>
            </w:r>
            <w:r>
              <w:rPr>
                <w:rFonts w:ascii="Times New Roman" w:hAnsi="Times New Roman"/>
                <w:color w:val="000000" w:themeColor="text1"/>
                <w:sz w:val="24"/>
                <w14:textFill>
                  <w14:solidFill>
                    <w14:schemeClr w14:val="tx1"/>
                  </w14:solidFill>
                </w14:textFill>
              </w:rPr>
              <w:t>m</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纵坡最大控制在12%以内（局部路段布线受限制时适当加大1%~2%）</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最小竖曲线半径为200m。场内新建及改建道路均为临时占地，占地面积分别为</w:t>
            </w:r>
            <w:r>
              <w:rPr>
                <w:rFonts w:hint="eastAsia"/>
                <w:color w:val="000000" w:themeColor="text1"/>
                <w:sz w:val="24"/>
                <w:lang w:val="en-US" w:eastAsia="zh-CN"/>
                <w14:textFill>
                  <w14:solidFill>
                    <w14:schemeClr w14:val="tx1"/>
                  </w14:solidFill>
                </w14:textFill>
              </w:rPr>
              <w:t>1.3255h</w:t>
            </w:r>
            <w:r>
              <w:rPr>
                <w:rFonts w:ascii="Times New Roman" w:hAnsi="Times New Roman"/>
                <w:color w:val="000000" w:themeColor="text1"/>
                <w:sz w:val="24"/>
                <w14:textFill>
                  <w14:solidFill>
                    <w14:schemeClr w14:val="tx1"/>
                  </w14:solidFill>
                </w14:textFill>
              </w:rPr>
              <w:t>m</w:t>
            </w:r>
            <w:r>
              <w:rPr>
                <w:rFonts w:ascii="Times New Roman" w:hAnsi="Times New Roman"/>
                <w:color w:val="000000" w:themeColor="text1"/>
                <w:sz w:val="24"/>
                <w:vertAlign w:val="super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和</w:t>
            </w:r>
            <w:r>
              <w:rPr>
                <w:rFonts w:hint="eastAsia"/>
                <w:color w:val="000000" w:themeColor="text1"/>
                <w:sz w:val="24"/>
                <w:lang w:val="en-US" w:eastAsia="zh-CN"/>
                <w14:textFill>
                  <w14:solidFill>
                    <w14:schemeClr w14:val="tx1"/>
                  </w14:solidFill>
                </w14:textFill>
              </w:rPr>
              <w:t>0.277h</w:t>
            </w:r>
            <w:r>
              <w:rPr>
                <w:rFonts w:ascii="Times New Roman" w:hAnsi="Times New Roman"/>
                <w:color w:val="000000" w:themeColor="text1"/>
                <w:sz w:val="24"/>
                <w14:textFill>
                  <w14:solidFill>
                    <w14:schemeClr w14:val="tx1"/>
                  </w14:solidFill>
                </w14:textFill>
              </w:rPr>
              <w:t>m</w:t>
            </w:r>
            <w:r>
              <w:rPr>
                <w:rFonts w:ascii="Times New Roman" w:hAnsi="Times New Roman"/>
                <w:color w:val="000000" w:themeColor="text1"/>
                <w:sz w:val="24"/>
                <w:vertAlign w:val="super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。本项目临时占地性质为基本农田和一般农田，均为租用农户用地。在施工完成后，场内新建道路和改建道路拓宽部分均进行生态恢复，恢复原地貌。</w:t>
            </w:r>
          </w:p>
          <w:p>
            <w:pPr>
              <w:spacing w:line="360" w:lineRule="auto"/>
              <w:ind w:firstLine="480" w:firstLineChars="200"/>
              <w:jc w:val="left"/>
              <w:rPr>
                <w:rFonts w:ascii="Times New Roman" w:hAnsi="Times New Roman" w:eastAsia="Times New Roman"/>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检修道路：经过</w:t>
            </w:r>
            <w:r>
              <w:rPr>
                <w:rFonts w:hint="eastAsia" w:ascii="Times New Roman" w:hAnsi="Times New Roman" w:eastAsia="Times New Roman"/>
                <w:color w:val="000000" w:themeColor="text1"/>
                <w:sz w:val="24"/>
                <w14:textFill>
                  <w14:solidFill>
                    <w14:schemeClr w14:val="tx1"/>
                  </w14:solidFill>
                </w14:textFill>
              </w:rPr>
              <w:t>现场调查，</w:t>
            </w:r>
            <w:bookmarkStart w:id="6" w:name="_Hlk58323255"/>
            <w:r>
              <w:rPr>
                <w:rFonts w:hint="eastAsia" w:ascii="Times New Roman" w:hAnsi="Times New Roman" w:eastAsia="Times New Roman"/>
                <w:color w:val="000000" w:themeColor="text1"/>
                <w:sz w:val="24"/>
                <w14:textFill>
                  <w14:solidFill>
                    <w14:schemeClr w14:val="tx1"/>
                  </w14:solidFill>
                </w14:textFill>
              </w:rPr>
              <w:t>本项目不设置检修道路，现有道路（村道、农耕路）可以满足风机日常检修要求。</w:t>
            </w:r>
            <w:bookmarkEnd w:id="6"/>
          </w:p>
          <w:p>
            <w:pPr>
              <w:spacing w:line="360" w:lineRule="auto"/>
              <w:ind w:firstLine="480" w:firstLineChars="200"/>
              <w:jc w:val="left"/>
              <w:rPr>
                <w:rFonts w:hint="default" w:ascii="Times New Roman" w:hAnsi="Times New Roman" w:eastAsia="宋体"/>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6</w:t>
            </w:r>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项目组成及主要建设内容</w:t>
            </w:r>
          </w:p>
          <w:p>
            <w:pPr>
              <w:spacing w:line="360" w:lineRule="auto"/>
              <w:ind w:firstLine="480" w:firstLineChars="200"/>
              <w:jc w:val="left"/>
              <w:rPr>
                <w:rFonts w:ascii="Times New Roman" w:hAnsi="Times New Roman" w:eastAsia="Times New Roman"/>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本项目组成</w:t>
            </w:r>
            <w:r>
              <w:rPr>
                <w:rFonts w:hint="eastAsia" w:ascii="Times New Roman" w:hAnsi="Times New Roman" w:eastAsia="Times New Roman"/>
                <w:color w:val="000000" w:themeColor="text1"/>
                <w:sz w:val="24"/>
                <w14:textFill>
                  <w14:solidFill>
                    <w14:schemeClr w14:val="tx1"/>
                  </w14:solidFill>
                </w14:textFill>
              </w:rPr>
              <w:t>及主要建设内容</w:t>
            </w:r>
            <w:r>
              <w:rPr>
                <w:rFonts w:ascii="Times New Roman" w:hAnsi="Times New Roman" w:eastAsia="Times New Roman"/>
                <w:color w:val="000000" w:themeColor="text1"/>
                <w:sz w:val="24"/>
                <w14:textFill>
                  <w14:solidFill>
                    <w14:schemeClr w14:val="tx1"/>
                  </w14:solidFill>
                </w14:textFill>
              </w:rPr>
              <w:t>见表1-5。</w:t>
            </w:r>
          </w:p>
          <w:p>
            <w:pPr>
              <w:pStyle w:val="40"/>
              <w:jc w:val="center"/>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表1-5  项目组成表及主要建设内容</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428"/>
              <w:gridCol w:w="1017"/>
              <w:gridCol w:w="60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674" w:type="dxa"/>
                  <w:tcBorders>
                    <w:tl2br w:val="nil"/>
                    <w:tr2bl w:val="nil"/>
                  </w:tcBorders>
                  <w:shd w:val="clear" w:color="auto" w:fill="auto"/>
                  <w:vAlign w:val="center"/>
                </w:tcPr>
                <w:p>
                  <w:pPr>
                    <w:pStyle w:val="42"/>
                    <w:widowControl w:val="0"/>
                    <w:pBdr>
                      <w:bottom w:val="none" w:color="auto" w:sz="0" w:space="0"/>
                      <w:right w:val="none" w:color="auto" w:sz="0" w:space="0"/>
                    </w:pBdr>
                    <w:spacing w:before="0" w:beforeAutospacing="0" w:after="0" w:afterAutospacing="0" w:line="280" w:lineRule="exact"/>
                    <w:outlineLvl w:val="2"/>
                    <w:rPr>
                      <w:rFonts w:ascii="Times New Roman" w:hAnsi="Times New Roman"/>
                      <w:color w:val="000000" w:themeColor="text1"/>
                      <w14:textFill>
                        <w14:solidFill>
                          <w14:schemeClr w14:val="tx1"/>
                        </w14:solidFill>
                      </w14:textFill>
                    </w:rPr>
                  </w:pPr>
                  <w:bookmarkStart w:id="7" w:name="_Hlk58323822"/>
                  <w:r>
                    <w:rPr>
                      <w:rFonts w:hint="eastAsia" w:ascii="Times New Roman" w:hAnsi="Times New Roman"/>
                      <w:color w:val="000000" w:themeColor="text1"/>
                      <w:kern w:val="2"/>
                      <w:szCs w:val="24"/>
                      <w14:textFill>
                        <w14:solidFill>
                          <w14:schemeClr w14:val="tx1"/>
                        </w14:solidFill>
                      </w14:textFill>
                    </w:rPr>
                    <w:t>项目组成</w:t>
                  </w:r>
                </w:p>
              </w:tc>
              <w:tc>
                <w:tcPr>
                  <w:tcW w:w="7457" w:type="dxa"/>
                  <w:gridSpan w:val="3"/>
                  <w:tcBorders>
                    <w:tl2br w:val="nil"/>
                    <w:tr2bl w:val="nil"/>
                  </w:tcBorders>
                  <w:shd w:val="clear" w:color="auto" w:fill="auto"/>
                  <w:vAlign w:val="center"/>
                </w:tcPr>
                <w:p>
                  <w:pPr>
                    <w:spacing w:line="280" w:lineRule="exact"/>
                    <w:jc w:val="center"/>
                    <w:rPr>
                      <w:rFonts w:ascii="Times New Roman" w:hAnsi="Times New Roman"/>
                      <w:color w:val="000000" w:themeColor="text1"/>
                      <w:szCs w:val="21"/>
                      <w14:textFill>
                        <w14:solidFill>
                          <w14:schemeClr w14:val="tx1"/>
                        </w14:solidFill>
                      </w14:textFill>
                    </w:rPr>
                  </w:pPr>
                  <w:r>
                    <w:rPr>
                      <w:color w:val="000000" w:themeColor="text1"/>
                      <w14:textFill>
                        <w14:solidFill>
                          <w14:schemeClr w14:val="tx1"/>
                        </w14:solidFill>
                      </w14:textFill>
                    </w:rPr>
                    <w:t>工程内容</w:t>
                  </w:r>
                  <w:r>
                    <w:rPr>
                      <w:rFonts w:hint="eastAsia"/>
                      <w:color w:val="000000" w:themeColor="text1"/>
                      <w14:textFill>
                        <w14:solidFill>
                          <w14:schemeClr w14:val="tx1"/>
                        </w14:solidFill>
                      </w14:textFill>
                    </w:rPr>
                    <w:t>或特征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674" w:type="dxa"/>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工程规模</w:t>
                  </w:r>
                </w:p>
              </w:tc>
              <w:tc>
                <w:tcPr>
                  <w:tcW w:w="7457" w:type="dxa"/>
                  <w:gridSpan w:val="3"/>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总装机容量</w:t>
                  </w:r>
                  <w:r>
                    <w:rPr>
                      <w:rFonts w:hint="eastAsia"/>
                      <w:color w:val="000000" w:themeColor="text1"/>
                      <w:szCs w:val="21"/>
                      <w:lang w:val="en-US" w:eastAsia="zh-CN"/>
                      <w14:textFill>
                        <w14:solidFill>
                          <w14:schemeClr w14:val="tx1"/>
                        </w14:solidFill>
                      </w14:textFill>
                    </w:rPr>
                    <w:t>20</w:t>
                  </w:r>
                  <w:r>
                    <w:rPr>
                      <w:rFonts w:ascii="Times New Roman" w:hAnsi="Times New Roman"/>
                      <w:color w:val="000000" w:themeColor="text1"/>
                      <w:szCs w:val="21"/>
                      <w14:textFill>
                        <w14:solidFill>
                          <w14:schemeClr w14:val="tx1"/>
                        </w14:solidFill>
                      </w14:textFill>
                    </w:rPr>
                    <w:t xml:space="preserve">MW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1" w:hRule="atLeast"/>
                <w:jc w:val="center"/>
              </w:trPr>
              <w:tc>
                <w:tcPr>
                  <w:tcW w:w="674" w:type="dxa"/>
                  <w:vMerge w:val="restart"/>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主体工程</w:t>
                  </w:r>
                </w:p>
              </w:tc>
              <w:tc>
                <w:tcPr>
                  <w:tcW w:w="1439" w:type="dxa"/>
                  <w:gridSpan w:val="2"/>
                  <w:tcBorders>
                    <w:tl2br w:val="nil"/>
                    <w:tr2bl w:val="nil"/>
                  </w:tcBorders>
                  <w:shd w:val="clear" w:color="auto" w:fill="auto"/>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风场范围</w:t>
                  </w:r>
                </w:p>
              </w:tc>
              <w:tc>
                <w:tcPr>
                  <w:tcW w:w="6018" w:type="dxa"/>
                  <w:tcBorders>
                    <w:tl2br w:val="nil"/>
                    <w:tr2bl w:val="nil"/>
                  </w:tcBorders>
                  <w:shd w:val="clear" w:color="auto" w:fill="auto"/>
                  <w:vAlign w:val="center"/>
                </w:tcPr>
                <w:p>
                  <w:pPr>
                    <w:autoSpaceDE w:val="0"/>
                    <w:autoSpaceDN w:val="0"/>
                    <w:adjustRightInd w:val="0"/>
                    <w:spacing w:line="24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风电场规划面积</w:t>
                  </w:r>
                  <w:r>
                    <w:rPr>
                      <w:rFonts w:hint="eastAsia"/>
                      <w:color w:val="000000" w:themeColor="text1"/>
                      <w:szCs w:val="21"/>
                      <w:lang w:val="en-US" w:eastAsia="zh-CN"/>
                      <w14:textFill>
                        <w14:solidFill>
                          <w14:schemeClr w14:val="tx1"/>
                        </w14:solidFill>
                      </w14:textFill>
                    </w:rPr>
                    <w:t>37.49</w:t>
                  </w:r>
                  <w:r>
                    <w:rPr>
                      <w:rFonts w:ascii="Times New Roman" w:hAnsi="Times New Roman"/>
                      <w:color w:val="000000" w:themeColor="text1"/>
                      <w:szCs w:val="21"/>
                      <w14:textFill>
                        <w14:solidFill>
                          <w14:schemeClr w14:val="tx1"/>
                        </w14:solidFill>
                      </w14:textFill>
                    </w:rPr>
                    <w:t>km</w:t>
                  </w:r>
                  <w:r>
                    <w:rPr>
                      <w:rFonts w:ascii="Times New Roman" w:hAnsi="Times New Roman"/>
                      <w:color w:val="000000" w:themeColor="text1"/>
                      <w:szCs w:val="21"/>
                      <w:vertAlign w:val="superscript"/>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4" w:type="dxa"/>
                  <w:vMerge w:val="continue"/>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工程规模</w:t>
                  </w:r>
                </w:p>
              </w:tc>
              <w:tc>
                <w:tcPr>
                  <w:tcW w:w="6018" w:type="dxa"/>
                  <w:tcBorders>
                    <w:tl2br w:val="nil"/>
                    <w:tr2bl w:val="nil"/>
                  </w:tcBorders>
                  <w:shd w:val="clear" w:color="auto" w:fill="auto"/>
                  <w:vAlign w:val="center"/>
                </w:tcPr>
                <w:p>
                  <w:pPr>
                    <w:autoSpaceDE w:val="0"/>
                    <w:autoSpaceDN w:val="0"/>
                    <w:adjustRightInd w:val="0"/>
                    <w:spacing w:line="24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总装机容量</w:t>
                  </w:r>
                  <w:r>
                    <w:rPr>
                      <w:rFonts w:hint="eastAsia"/>
                      <w:color w:val="000000" w:themeColor="text1"/>
                      <w:szCs w:val="21"/>
                      <w:lang w:val="en-US" w:eastAsia="zh-CN"/>
                      <w14:textFill>
                        <w14:solidFill>
                          <w14:schemeClr w14:val="tx1"/>
                        </w14:solidFill>
                      </w14:textFill>
                    </w:rPr>
                    <w:t>2</w:t>
                  </w:r>
                  <w:r>
                    <w:rPr>
                      <w:rFonts w:ascii="Times New Roman" w:hAnsi="Times New Roman"/>
                      <w:color w:val="000000" w:themeColor="text1"/>
                      <w:szCs w:val="21"/>
                      <w14:textFill>
                        <w14:solidFill>
                          <w14:schemeClr w14:val="tx1"/>
                        </w14:solidFill>
                      </w14:textFill>
                    </w:rPr>
                    <w:t>0MW，年</w:t>
                  </w:r>
                  <w:r>
                    <w:rPr>
                      <w:rFonts w:ascii="Times New Roman" w:hAnsi="Times New Roman"/>
                      <w:color w:val="000000" w:themeColor="text1"/>
                      <w:kern w:val="0"/>
                      <w:szCs w:val="21"/>
                      <w14:textFill>
                        <w14:solidFill>
                          <w14:schemeClr w14:val="tx1"/>
                        </w14:solidFill>
                      </w14:textFill>
                    </w:rPr>
                    <w:t>上网电量</w:t>
                  </w:r>
                  <w:r>
                    <w:rPr>
                      <w:rFonts w:hint="eastAsia" w:ascii="Times New Roman" w:hAnsi="Times New Roman"/>
                      <w:color w:val="000000" w:themeColor="text1"/>
                      <w:kern w:val="0"/>
                      <w:szCs w:val="21"/>
                      <w:lang w:val="en-US" w:eastAsia="zh-CN"/>
                      <w14:textFill>
                        <w14:solidFill>
                          <w14:schemeClr w14:val="tx1"/>
                        </w14:solidFill>
                      </w14:textFill>
                    </w:rPr>
                    <w:t>4414.14</w:t>
                  </w:r>
                  <w:r>
                    <w:rPr>
                      <w:rFonts w:ascii="Times New Roman" w:hAnsi="Times New Roman"/>
                      <w:color w:val="000000" w:themeColor="text1"/>
                      <w:kern w:val="0"/>
                      <w:szCs w:val="21"/>
                      <w14:textFill>
                        <w14:solidFill>
                          <w14:schemeClr w14:val="tx1"/>
                        </w14:solidFill>
                      </w14:textFill>
                    </w:rPr>
                    <w:t>万kW·h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Merge w:val="continue"/>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风电机组</w:t>
                  </w:r>
                </w:p>
              </w:tc>
              <w:tc>
                <w:tcPr>
                  <w:tcW w:w="6018" w:type="dxa"/>
                  <w:tcBorders>
                    <w:tl2br w:val="nil"/>
                    <w:tr2bl w:val="nil"/>
                  </w:tcBorders>
                  <w:shd w:val="clear" w:color="auto" w:fill="auto"/>
                  <w:vAlign w:val="center"/>
                </w:tcPr>
                <w:p>
                  <w:pPr>
                    <w:adjustRightInd w:val="0"/>
                    <w:snapToGrid w:val="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建设</w:t>
                  </w:r>
                  <w:r>
                    <w:rPr>
                      <w:rFonts w:hint="eastAsia"/>
                      <w:color w:val="000000" w:themeColor="text1"/>
                      <w:szCs w:val="21"/>
                      <w:lang w:val="en-US" w:eastAsia="zh-CN"/>
                      <w14:textFill>
                        <w14:solidFill>
                          <w14:schemeClr w14:val="tx1"/>
                        </w14:solidFill>
                      </w14:textFill>
                    </w:rPr>
                    <w:t>8</w:t>
                  </w:r>
                  <w:r>
                    <w:rPr>
                      <w:rFonts w:ascii="Times New Roman" w:hAnsi="Times New Roman"/>
                      <w:color w:val="000000" w:themeColor="text1"/>
                      <w:szCs w:val="21"/>
                      <w14:textFill>
                        <w14:solidFill>
                          <w14:schemeClr w14:val="tx1"/>
                        </w14:solidFill>
                      </w14:textFill>
                    </w:rPr>
                    <w:t>台W</w:t>
                  </w:r>
                  <w:r>
                    <w:rPr>
                      <w:rFonts w:hint="eastAsia" w:ascii="Times New Roman" w:hAnsi="Times New Roman"/>
                      <w:color w:val="000000" w:themeColor="text1"/>
                      <w:szCs w:val="21"/>
                      <w:lang w:val="en-US" w:eastAsia="zh-CN"/>
                      <w14:textFill>
                        <w14:solidFill>
                          <w14:schemeClr w14:val="tx1"/>
                        </w14:solidFill>
                      </w14:textFill>
                    </w:rPr>
                    <w:t>TG2-</w:t>
                  </w:r>
                  <w:r>
                    <w:rPr>
                      <w:rFonts w:ascii="Times New Roman" w:hAnsi="Times New Roman"/>
                      <w:color w:val="000000" w:themeColor="text1"/>
                      <w:szCs w:val="21"/>
                      <w14:textFill>
                        <w14:solidFill>
                          <w14:schemeClr w14:val="tx1"/>
                        </w14:solidFill>
                      </w14:textFill>
                    </w:rPr>
                    <w:t>14</w:t>
                  </w:r>
                  <w:r>
                    <w:rPr>
                      <w:rFonts w:hint="eastAsia" w:ascii="Times New Roman" w:hAnsi="Times New Roman"/>
                      <w:color w:val="000000" w:themeColor="text1"/>
                      <w:szCs w:val="21"/>
                      <w:lang w:val="en-US" w:eastAsia="zh-CN"/>
                      <w14:textFill>
                        <w14:solidFill>
                          <w14:schemeClr w14:val="tx1"/>
                        </w14:solidFill>
                      </w14:textFill>
                    </w:rPr>
                    <w:t>7/</w:t>
                  </w:r>
                  <w:r>
                    <w:rPr>
                      <w:rFonts w:ascii="Times New Roman" w:hAnsi="Times New Roman"/>
                      <w:color w:val="000000" w:themeColor="text1"/>
                      <w:szCs w:val="21"/>
                      <w14:textFill>
                        <w14:solidFill>
                          <w14:schemeClr w14:val="tx1"/>
                        </w14:solidFill>
                      </w14:textFill>
                    </w:rPr>
                    <w:t>2.5型风力发电机组，单台容量2500kW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Merge w:val="continue"/>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autoSpaceDE w:val="0"/>
                    <w:autoSpaceDN w:val="0"/>
                    <w:adjustRightInd w:val="0"/>
                    <w:spacing w:line="24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箱式变压器</w:t>
                  </w:r>
                </w:p>
              </w:tc>
              <w:tc>
                <w:tcPr>
                  <w:tcW w:w="6018" w:type="dxa"/>
                  <w:tcBorders>
                    <w:tl2br w:val="nil"/>
                    <w:tr2bl w:val="nil"/>
                  </w:tcBorders>
                  <w:shd w:val="clear" w:color="auto" w:fill="auto"/>
                  <w:vAlign w:val="center"/>
                </w:tcPr>
                <w:p>
                  <w:pPr>
                    <w:autoSpaceDE w:val="0"/>
                    <w:autoSpaceDN w:val="0"/>
                    <w:adjustRightInd w:val="0"/>
                    <w:spacing w:line="24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安装</w:t>
                  </w:r>
                  <w:r>
                    <w:rPr>
                      <w:rFonts w:hint="eastAsia"/>
                      <w:color w:val="000000" w:themeColor="text1"/>
                      <w:szCs w:val="21"/>
                      <w:lang w:val="en-US" w:eastAsia="zh-CN"/>
                      <w14:textFill>
                        <w14:solidFill>
                          <w14:schemeClr w14:val="tx1"/>
                        </w14:solidFill>
                      </w14:textFill>
                    </w:rPr>
                    <w:t>8</w:t>
                  </w:r>
                  <w:r>
                    <w:rPr>
                      <w:rFonts w:ascii="Times New Roman" w:hAnsi="Times New Roman"/>
                      <w:color w:val="000000" w:themeColor="text1"/>
                      <w:szCs w:val="21"/>
                      <w14:textFill>
                        <w14:solidFill>
                          <w14:schemeClr w14:val="tx1"/>
                        </w14:solidFill>
                      </w14:textFill>
                    </w:rPr>
                    <w:t>台箱式油浸式</w:t>
                  </w:r>
                  <w:r>
                    <w:rPr>
                      <w:rFonts w:hint="eastAsia" w:ascii="Times New Roman" w:hAnsi="Times New Roman"/>
                      <w:color w:val="000000" w:themeColor="text1"/>
                      <w:szCs w:val="21"/>
                      <w:lang w:val="en-US" w:eastAsia="zh-CN"/>
                      <w14:textFill>
                        <w14:solidFill>
                          <w14:schemeClr w14:val="tx1"/>
                        </w14:solidFill>
                      </w14:textFill>
                    </w:rPr>
                    <w:t>变压器</w:t>
                  </w:r>
                  <w:r>
                    <w:rPr>
                      <w:rFonts w:ascii="Times New Roman" w:hAnsi="Times New Roman"/>
                      <w:color w:val="000000" w:themeColor="text1"/>
                      <w:szCs w:val="21"/>
                      <w14:textFill>
                        <w14:solidFill>
                          <w14:schemeClr w14:val="tx1"/>
                        </w14:solidFill>
                      </w14:textFill>
                    </w:rPr>
                    <w:t>，箱式变电站容量为2</w:t>
                  </w:r>
                  <w:r>
                    <w:rPr>
                      <w:rFonts w:hint="eastAsia"/>
                      <w:color w:val="000000" w:themeColor="text1"/>
                      <w:szCs w:val="21"/>
                      <w:lang w:val="en-US" w:eastAsia="zh-CN"/>
                      <w14:textFill>
                        <w14:solidFill>
                          <w14:schemeClr w14:val="tx1"/>
                        </w14:solidFill>
                      </w14:textFill>
                    </w:rPr>
                    <w:t>750</w:t>
                  </w:r>
                  <w:r>
                    <w:rPr>
                      <w:rFonts w:ascii="Times New Roman" w:hAnsi="Times New Roman"/>
                      <w:color w:val="000000" w:themeColor="text1"/>
                      <w:szCs w:val="21"/>
                      <w14:textFill>
                        <w14:solidFill>
                          <w14:schemeClr w14:val="tx1"/>
                        </w14:solidFill>
                      </w14:textFill>
                    </w:rPr>
                    <w:t>kVA，采用一机一变电器接线方案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Merge w:val="continue"/>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tabs>
                      <w:tab w:val="left" w:pos="480"/>
                    </w:tabs>
                    <w:jc w:val="center"/>
                    <w:rPr>
                      <w:rFonts w:ascii="Times New Roman" w:hAnsi="Times New Roman"/>
                      <w:color w:val="000000" w:themeColor="text1"/>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35kV开关站</w:t>
                  </w:r>
                </w:p>
              </w:tc>
              <w:tc>
                <w:tcPr>
                  <w:tcW w:w="6018" w:type="dxa"/>
                  <w:tcBorders>
                    <w:tl2br w:val="nil"/>
                    <w:tr2bl w:val="nil"/>
                  </w:tcBorders>
                  <w:shd w:val="clear" w:color="auto" w:fill="auto"/>
                  <w:vAlign w:val="center"/>
                </w:tcPr>
                <w:p>
                  <w:pPr>
                    <w:tabs>
                      <w:tab w:val="left" w:pos="480"/>
                    </w:tabs>
                    <w:spacing w:line="240" w:lineRule="exact"/>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开关站</w:t>
                  </w:r>
                  <w:r>
                    <w:rPr>
                      <w:rFonts w:ascii="Times New Roman" w:hAnsi="Times New Roman"/>
                      <w:color w:val="000000" w:themeColor="text1"/>
                      <w:szCs w:val="21"/>
                      <w14:textFill>
                        <w14:solidFill>
                          <w14:schemeClr w14:val="tx1"/>
                        </w14:solidFill>
                      </w14:textFill>
                    </w:rPr>
                    <w:t>占地</w:t>
                  </w:r>
                  <w:r>
                    <w:rPr>
                      <w:rFonts w:hint="eastAsia"/>
                      <w:color w:val="000000" w:themeColor="text1"/>
                      <w:szCs w:val="21"/>
                      <w:lang w:val="en-US" w:eastAsia="zh-CN"/>
                      <w14:textFill>
                        <w14:solidFill>
                          <w14:schemeClr w14:val="tx1"/>
                        </w14:solidFill>
                      </w14:textFill>
                    </w:rPr>
                    <w:t>756</w:t>
                  </w:r>
                  <w:r>
                    <w:rPr>
                      <w:rFonts w:ascii="Times New Roman" w:hAnsi="Times New Roman"/>
                      <w:color w:val="000000" w:themeColor="text1"/>
                      <w:szCs w:val="21"/>
                      <w14:textFill>
                        <w14:solidFill>
                          <w14:schemeClr w14:val="tx1"/>
                        </w14:solidFill>
                      </w14:textFill>
                    </w:rPr>
                    <w:t>m</w:t>
                  </w:r>
                  <w:r>
                    <w:rPr>
                      <w:rFonts w:ascii="Times New Roman" w:hAnsi="Times New Roman"/>
                      <w:color w:val="000000" w:themeColor="text1"/>
                      <w:szCs w:val="21"/>
                      <w:vertAlign w:val="superscript"/>
                      <w14:textFill>
                        <w14:solidFill>
                          <w14:schemeClr w14:val="tx1"/>
                        </w14:solidFill>
                      </w14:textFill>
                    </w:rPr>
                    <w:t>2</w:t>
                  </w:r>
                  <w:r>
                    <w:rPr>
                      <w:rFonts w:ascii="Times New Roman" w:hAnsi="Times New Roman"/>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包括</w:t>
                  </w:r>
                  <w:r>
                    <w:rPr>
                      <w:rFonts w:hint="eastAsia" w:ascii="Times New Roman" w:hAnsi="Times New Roman"/>
                      <w:color w:val="000000" w:themeColor="text1"/>
                      <w:szCs w:val="21"/>
                      <w:lang w:val="en-US" w:eastAsia="zh-CN"/>
                      <w14:textFill>
                        <w14:solidFill>
                          <w14:schemeClr w14:val="tx1"/>
                        </w14:solidFill>
                      </w14:textFill>
                    </w:rPr>
                    <w:t>SVG预制舱、一二次预制舱和危险废物暂存间等构筑物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autoSpaceDE w:val="0"/>
                    <w:autoSpaceDN w:val="0"/>
                    <w:adjustRightInd w:val="0"/>
                    <w:snapToGrid w:val="0"/>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进场道路</w:t>
                  </w:r>
                </w:p>
              </w:tc>
              <w:tc>
                <w:tcPr>
                  <w:tcW w:w="6018" w:type="dxa"/>
                  <w:tcBorders>
                    <w:tl2br w:val="nil"/>
                    <w:tr2bl w:val="nil"/>
                  </w:tcBorders>
                  <w:shd w:val="clear" w:color="auto" w:fill="auto"/>
                  <w:vAlign w:val="center"/>
                </w:tcPr>
                <w:p>
                  <w:pPr>
                    <w:autoSpaceDE w:val="0"/>
                    <w:autoSpaceDN w:val="0"/>
                    <w:adjustRightInd w:val="0"/>
                    <w:snapToGrid w:val="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进场道路均利用现有道路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autoSpaceDE w:val="0"/>
                    <w:autoSpaceDN w:val="0"/>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场内道路</w:t>
                  </w:r>
                </w:p>
              </w:tc>
              <w:tc>
                <w:tcPr>
                  <w:tcW w:w="6018" w:type="dxa"/>
                  <w:tcBorders>
                    <w:tl2br w:val="nil"/>
                    <w:tr2bl w:val="nil"/>
                  </w:tcBorders>
                  <w:shd w:val="clear" w:color="auto" w:fill="auto"/>
                  <w:vAlign w:val="center"/>
                </w:tcPr>
                <w:p>
                  <w:pPr>
                    <w:autoSpaceDE w:val="0"/>
                    <w:autoSpaceDN w:val="0"/>
                    <w:adjustRightInd w:val="0"/>
                    <w:snapToGrid w:val="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为风电场新建及改建道路</w:t>
                  </w:r>
                  <w:bookmarkStart w:id="8" w:name="_Hlk58332451"/>
                </w:p>
                <w:p>
                  <w:pPr>
                    <w:autoSpaceDE w:val="0"/>
                    <w:autoSpaceDN w:val="0"/>
                    <w:adjustRightInd w:val="0"/>
                    <w:snapToGrid w:val="0"/>
                    <w:rPr>
                      <w:rFonts w:hint="eastAsia" w:ascii="Times New Roman" w:hAnsi="Times New Roman" w:eastAsia="宋体"/>
                      <w:color w:val="000000" w:themeColor="text1"/>
                      <w:szCs w:val="21"/>
                      <w:lang w:eastAsia="zh-CN"/>
                      <w14:textFill>
                        <w14:solidFill>
                          <w14:schemeClr w14:val="tx1"/>
                        </w14:solidFill>
                      </w14:textFill>
                    </w:rPr>
                  </w:pPr>
                  <w:r>
                    <w:rPr>
                      <w:rFonts w:ascii="Times New Roman" w:hAnsi="Times New Roman"/>
                      <w:color w:val="000000" w:themeColor="text1"/>
                      <w:szCs w:val="21"/>
                      <w14:textFill>
                        <w14:solidFill>
                          <w14:schemeClr w14:val="tx1"/>
                        </w14:solidFill>
                      </w14:textFill>
                    </w:rPr>
                    <w:t>本次风电</w:t>
                  </w:r>
                  <w:r>
                    <w:rPr>
                      <w:rFonts w:hint="eastAsia"/>
                      <w:color w:val="000000" w:themeColor="text1"/>
                      <w:szCs w:val="21"/>
                      <w:lang w:val="en-US" w:eastAsia="zh-CN"/>
                      <w14:textFill>
                        <w14:solidFill>
                          <w14:schemeClr w14:val="tx1"/>
                        </w14:solidFill>
                      </w14:textFill>
                    </w:rPr>
                    <w:t>场新建道路总长度约2.651km，改造道路总长度约2.77km</w:t>
                  </w:r>
                  <w:r>
                    <w:rPr>
                      <w:rFonts w:ascii="Times New Roman" w:hAnsi="Times New Roman"/>
                      <w:color w:val="000000" w:themeColor="text1"/>
                      <w:szCs w:val="21"/>
                      <w14:textFill>
                        <w14:solidFill>
                          <w14:schemeClr w14:val="tx1"/>
                        </w14:solidFill>
                      </w14:textFill>
                    </w:rPr>
                    <w:t>，场内道路路基宽5.</w:t>
                  </w:r>
                  <w:r>
                    <w:rPr>
                      <w:rFonts w:hint="eastAsia"/>
                      <w:color w:val="000000" w:themeColor="text1"/>
                      <w:szCs w:val="21"/>
                      <w:lang w:val="en-US" w:eastAsia="zh-CN"/>
                      <w14:textFill>
                        <w14:solidFill>
                          <w14:schemeClr w14:val="tx1"/>
                        </w14:solidFill>
                      </w14:textFill>
                    </w:rPr>
                    <w:t>0</w:t>
                  </w:r>
                  <w:r>
                    <w:rPr>
                      <w:rFonts w:ascii="Times New Roman" w:hAnsi="Times New Roman"/>
                      <w:color w:val="000000" w:themeColor="text1"/>
                      <w:szCs w:val="21"/>
                      <w14:textFill>
                        <w14:solidFill>
                          <w14:schemeClr w14:val="tx1"/>
                        </w14:solidFill>
                      </w14:textFill>
                    </w:rPr>
                    <w:t>m，路面宽4.5m，采用3cm厚磨耗层，18cm厚泥结碎石路面结构，最小转弯半径为3</w:t>
                  </w:r>
                  <w:r>
                    <w:rPr>
                      <w:rFonts w:hint="eastAsia"/>
                      <w:color w:val="000000" w:themeColor="text1"/>
                      <w:szCs w:val="21"/>
                      <w:lang w:val="en-US" w:eastAsia="zh-CN"/>
                      <w14:textFill>
                        <w14:solidFill>
                          <w14:schemeClr w14:val="tx1"/>
                        </w14:solidFill>
                      </w14:textFill>
                    </w:rPr>
                    <w:t>5</w:t>
                  </w:r>
                  <w:r>
                    <w:rPr>
                      <w:rFonts w:ascii="Times New Roman" w:hAnsi="Times New Roman"/>
                      <w:color w:val="000000" w:themeColor="text1"/>
                      <w:szCs w:val="21"/>
                      <w14:textFill>
                        <w14:solidFill>
                          <w14:schemeClr w14:val="tx1"/>
                        </w14:solidFill>
                      </w14:textFill>
                    </w:rPr>
                    <w:t>m</w:t>
                  </w:r>
                  <w:r>
                    <w:rPr>
                      <w:rFonts w:hint="eastAsia"/>
                      <w:color w:val="000000" w:themeColor="text1"/>
                      <w:szCs w:val="21"/>
                      <w:lang w:eastAsia="zh-CN"/>
                      <w14:textFill>
                        <w14:solidFill>
                          <w14:schemeClr w14:val="tx1"/>
                        </w14:solidFill>
                      </w14:textFill>
                    </w:rPr>
                    <w:t>；</w:t>
                  </w:r>
                </w:p>
                <w:p>
                  <w:pPr>
                    <w:autoSpaceDE w:val="0"/>
                    <w:autoSpaceDN w:val="0"/>
                    <w:adjustRightInd w:val="0"/>
                    <w:snapToGrid w:val="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场内新建及改建道路均为临时占地，占地面积分别为</w:t>
                  </w:r>
                  <w:r>
                    <w:rPr>
                      <w:rFonts w:hint="eastAsia" w:ascii="Times New Roman" w:hAnsi="Times New Roman"/>
                      <w:color w:val="000000" w:themeColor="text1"/>
                      <w:szCs w:val="21"/>
                      <w:lang w:val="en-US" w:eastAsia="zh-CN"/>
                      <w14:textFill>
                        <w14:solidFill>
                          <w14:schemeClr w14:val="tx1"/>
                        </w14:solidFill>
                      </w14:textFill>
                    </w:rPr>
                    <w:t>1.3255h</w:t>
                  </w:r>
                  <w:r>
                    <w:rPr>
                      <w:rFonts w:ascii="Times New Roman" w:hAnsi="Times New Roman"/>
                      <w:color w:val="000000" w:themeColor="text1"/>
                      <w:szCs w:val="21"/>
                      <w14:textFill>
                        <w14:solidFill>
                          <w14:schemeClr w14:val="tx1"/>
                        </w14:solidFill>
                      </w14:textFill>
                    </w:rPr>
                    <w:t>m</w:t>
                  </w:r>
                  <w:r>
                    <w:rPr>
                      <w:rFonts w:ascii="Times New Roman" w:hAnsi="Times New Roman"/>
                      <w:color w:val="000000" w:themeColor="text1"/>
                      <w:szCs w:val="21"/>
                      <w:vertAlign w:val="superscript"/>
                      <w14:textFill>
                        <w14:solidFill>
                          <w14:schemeClr w14:val="tx1"/>
                        </w14:solidFill>
                      </w14:textFill>
                    </w:rPr>
                    <w:t>2</w:t>
                  </w:r>
                  <w:r>
                    <w:rPr>
                      <w:rFonts w:ascii="Times New Roman" w:hAnsi="Times New Roman"/>
                      <w:color w:val="000000" w:themeColor="text1"/>
                      <w:szCs w:val="21"/>
                      <w14:textFill>
                        <w14:solidFill>
                          <w14:schemeClr w14:val="tx1"/>
                        </w14:solidFill>
                      </w14:textFill>
                    </w:rPr>
                    <w:t>和</w:t>
                  </w:r>
                  <w:r>
                    <w:rPr>
                      <w:rFonts w:hint="eastAsia" w:ascii="Times New Roman" w:hAnsi="Times New Roman"/>
                      <w:color w:val="000000" w:themeColor="text1"/>
                      <w:szCs w:val="21"/>
                      <w:lang w:val="en-US" w:eastAsia="zh-CN"/>
                      <w14:textFill>
                        <w14:solidFill>
                          <w14:schemeClr w14:val="tx1"/>
                        </w14:solidFill>
                      </w14:textFill>
                    </w:rPr>
                    <w:t>0.277h</w:t>
                  </w:r>
                  <w:r>
                    <w:rPr>
                      <w:rFonts w:ascii="Times New Roman" w:hAnsi="Times New Roman"/>
                      <w:color w:val="000000" w:themeColor="text1"/>
                      <w:szCs w:val="21"/>
                      <w14:textFill>
                        <w14:solidFill>
                          <w14:schemeClr w14:val="tx1"/>
                        </w14:solidFill>
                      </w14:textFill>
                    </w:rPr>
                    <w:t>m</w:t>
                  </w:r>
                  <w:r>
                    <w:rPr>
                      <w:rFonts w:ascii="Times New Roman" w:hAnsi="Times New Roman"/>
                      <w:color w:val="000000" w:themeColor="text1"/>
                      <w:szCs w:val="21"/>
                      <w:vertAlign w:val="superscript"/>
                      <w14:textFill>
                        <w14:solidFill>
                          <w14:schemeClr w14:val="tx1"/>
                        </w14:solidFill>
                      </w14:textFill>
                    </w:rPr>
                    <w:t>2</w:t>
                  </w:r>
                  <w:r>
                    <w:rPr>
                      <w:rFonts w:hint="eastAsia"/>
                      <w:color w:val="000000" w:themeColor="text1"/>
                      <w:szCs w:val="21"/>
                      <w:vertAlign w:val="baseline"/>
                      <w:lang w:eastAsia="zh-CN"/>
                      <w14:textFill>
                        <w14:solidFill>
                          <w14:schemeClr w14:val="tx1"/>
                        </w14:solidFill>
                      </w14:textFill>
                    </w:rPr>
                    <w:t>，</w:t>
                  </w:r>
                  <w:r>
                    <w:rPr>
                      <w:rFonts w:ascii="Times New Roman" w:hAnsi="Times New Roman"/>
                      <w:color w:val="000000" w:themeColor="text1"/>
                      <w:szCs w:val="21"/>
                      <w14:textFill>
                        <w14:solidFill>
                          <w14:schemeClr w14:val="tx1"/>
                        </w14:solidFill>
                      </w14:textFill>
                    </w:rPr>
                    <w:t>均为临时占地，在施工完成后进行生态恢复，恢复原地貌</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4" w:type="dxa"/>
                  <w:vMerge w:val="restart"/>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辅助工程</w:t>
                  </w:r>
                </w:p>
              </w:tc>
              <w:tc>
                <w:tcPr>
                  <w:tcW w:w="1439" w:type="dxa"/>
                  <w:gridSpan w:val="2"/>
                  <w:tcBorders>
                    <w:tl2br w:val="nil"/>
                    <w:tr2bl w:val="nil"/>
                  </w:tcBorders>
                  <w:shd w:val="clear" w:color="auto" w:fill="auto"/>
                  <w:vAlign w:val="center"/>
                </w:tcPr>
                <w:p>
                  <w:pPr>
                    <w:tabs>
                      <w:tab w:val="left" w:pos="480"/>
                    </w:tabs>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场内输</w:t>
                  </w:r>
                </w:p>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Cs w:val="21"/>
                      <w14:textFill>
                        <w14:solidFill>
                          <w14:schemeClr w14:val="tx1"/>
                        </w14:solidFill>
                      </w14:textFill>
                    </w:rPr>
                    <w:t>电线路</w:t>
                  </w:r>
                </w:p>
              </w:tc>
              <w:tc>
                <w:tcPr>
                  <w:tcW w:w="6018" w:type="dxa"/>
                  <w:tcBorders>
                    <w:tl2br w:val="nil"/>
                    <w:tr2bl w:val="nil"/>
                  </w:tcBorders>
                  <w:shd w:val="clear" w:color="auto" w:fill="auto"/>
                  <w:vAlign w:val="center"/>
                </w:tcPr>
                <w:p>
                  <w:pPr>
                    <w:tabs>
                      <w:tab w:val="left" w:pos="480"/>
                    </w:tabs>
                    <w:rPr>
                      <w:rFonts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拟建35kV线路由各风机相变电缆出线，至电缆终端塔后改架空至</w:t>
                  </w:r>
                  <w:r>
                    <w:rPr>
                      <w:rFonts w:hint="eastAsia" w:cs="Times New Roman"/>
                      <w:color w:val="000000" w:themeColor="text1"/>
                      <w:kern w:val="2"/>
                      <w:sz w:val="21"/>
                      <w:szCs w:val="22"/>
                      <w:lang w:val="en-US" w:eastAsia="zh-CN" w:bidi="ar-SA"/>
                      <w14:textFill>
                        <w14:solidFill>
                          <w14:schemeClr w14:val="tx1"/>
                        </w14:solidFill>
                      </w14:textFill>
                    </w:rPr>
                    <w:t>35kV开关站</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，其中架空线路长度</w:t>
                  </w:r>
                  <w:r>
                    <w:rPr>
                      <w:rFonts w:hint="eastAsia" w:cs="Times New Roman"/>
                      <w:color w:val="000000" w:themeColor="text1"/>
                      <w:kern w:val="2"/>
                      <w:sz w:val="21"/>
                      <w:szCs w:val="22"/>
                      <w:lang w:val="en-US" w:eastAsia="zh-CN" w:bidi="ar-SA"/>
                      <w14:textFill>
                        <w14:solidFill>
                          <w14:schemeClr w14:val="tx1"/>
                        </w14:solidFill>
                      </w14:textFill>
                    </w:rPr>
                    <w:t>18.7</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km，电缆直埋长度</w:t>
                  </w:r>
                  <w:r>
                    <w:rPr>
                      <w:rFonts w:hint="eastAsia" w:cs="Times New Roman"/>
                      <w:color w:val="000000" w:themeColor="text1"/>
                      <w:kern w:val="2"/>
                      <w:sz w:val="21"/>
                      <w:szCs w:val="22"/>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tabs>
                      <w:tab w:val="left" w:pos="480"/>
                    </w:tabs>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Cs w:val="21"/>
                      <w14:textFill>
                        <w14:solidFill>
                          <w14:schemeClr w14:val="tx1"/>
                        </w14:solidFill>
                      </w14:textFill>
                    </w:rPr>
                    <w:t>电气出线</w:t>
                  </w:r>
                </w:p>
              </w:tc>
              <w:tc>
                <w:tcPr>
                  <w:tcW w:w="6018" w:type="dxa"/>
                  <w:tcBorders>
                    <w:tl2br w:val="nil"/>
                    <w:tr2bl w:val="nil"/>
                  </w:tcBorders>
                  <w:shd w:val="clear" w:color="auto" w:fill="auto"/>
                  <w:vAlign w:val="center"/>
                </w:tcPr>
                <w:p>
                  <w:pPr>
                    <w:tabs>
                      <w:tab w:val="left" w:pos="480"/>
                    </w:tabs>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35kV开关站</w:t>
                  </w:r>
                  <w:bookmarkStart w:id="9" w:name="OLE_LINK2"/>
                  <w:r>
                    <w:rPr>
                      <w:rFonts w:hint="eastAsia"/>
                      <w:color w:val="000000" w:themeColor="text1"/>
                      <w:lang w:val="en-US" w:eastAsia="zh-CN"/>
                      <w14:textFill>
                        <w14:solidFill>
                          <w14:schemeClr w14:val="tx1"/>
                        </w14:solidFill>
                      </w14:textFill>
                    </w:rPr>
                    <w:t>拟以1回35kV架空线路就近接入安里110kV变电站35kV侧</w:t>
                  </w:r>
                  <w:r>
                    <w:rPr>
                      <w:rFonts w:hint="eastAsia"/>
                      <w:color w:val="000000" w:themeColor="text1"/>
                      <w:szCs w:val="21"/>
                      <w:lang w:eastAsia="zh-CN"/>
                      <w14:textFill>
                        <w14:solidFill>
                          <w14:schemeClr w14:val="tx1"/>
                        </w14:solidFill>
                      </w14:textFill>
                    </w:rPr>
                    <w:t>，</w:t>
                  </w:r>
                  <w:bookmarkEnd w:id="9"/>
                  <w:r>
                    <w:rPr>
                      <w:rFonts w:hint="eastAsia"/>
                      <w:color w:val="000000" w:themeColor="text1"/>
                      <w:szCs w:val="21"/>
                      <w:lang w:val="en-US" w:eastAsia="zh-CN"/>
                      <w14:textFill>
                        <w14:solidFill>
                          <w14:schemeClr w14:val="tx1"/>
                        </w14:solidFill>
                      </w14:textFill>
                    </w:rPr>
                    <w:t>本次评价不包括电气出线工程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Cs w:val="21"/>
                      <w14:textFill>
                        <w14:solidFill>
                          <w14:schemeClr w14:val="tx1"/>
                        </w14:solidFill>
                      </w14:textFill>
                    </w:rPr>
                    <w:t>接地网</w:t>
                  </w:r>
                </w:p>
              </w:tc>
              <w:tc>
                <w:tcPr>
                  <w:tcW w:w="6018" w:type="dxa"/>
                  <w:tcBorders>
                    <w:tl2br w:val="nil"/>
                    <w:tr2bl w:val="nil"/>
                  </w:tcBorders>
                  <w:shd w:val="clear" w:color="auto" w:fill="auto"/>
                  <w:vAlign w:val="center"/>
                </w:tcPr>
                <w:p>
                  <w:pPr>
                    <w:autoSpaceDE w:val="0"/>
                    <w:autoSpaceDN w:val="0"/>
                    <w:adjustRightInd w:val="0"/>
                    <w:snapToGrid w:val="0"/>
                    <w:rPr>
                      <w:rFonts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ascii="Times New Roman" w:hAnsi="Times New Roman"/>
                      <w:color w:val="000000" w:themeColor="text1"/>
                      <w14:textFill>
                        <w14:solidFill>
                          <w14:schemeClr w14:val="tx1"/>
                        </w14:solidFill>
                      </w14:textFill>
                    </w:rPr>
                    <w:t>在每台风力发电机基础与箱式变基础周围铺设人工接地网，接地装置采用接地扁钢和钢管。一台风机与一台箱式变共同组成一个独立接地网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Cs w:val="21"/>
                      <w14:textFill>
                        <w14:solidFill>
                          <w14:schemeClr w14:val="tx1"/>
                        </w14:solidFill>
                      </w14:textFill>
                    </w:rPr>
                    <w:t>杆塔</w:t>
                  </w:r>
                </w:p>
              </w:tc>
              <w:tc>
                <w:tcPr>
                  <w:tcW w:w="6018" w:type="dxa"/>
                  <w:tcBorders>
                    <w:tl2br w:val="nil"/>
                    <w:tr2bl w:val="nil"/>
                  </w:tcBorders>
                  <w:shd w:val="clear" w:color="auto" w:fill="auto"/>
                  <w:vAlign w:val="center"/>
                </w:tcPr>
                <w:p>
                  <w:pPr>
                    <w:autoSpaceDE w:val="0"/>
                    <w:autoSpaceDN w:val="0"/>
                    <w:adjustRightInd w:val="0"/>
                    <w:snapToGrid w:val="0"/>
                    <w:rPr>
                      <w:rFonts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ascii="Times New Roman" w:hAnsi="Times New Roman"/>
                      <w:color w:val="000000" w:themeColor="text1"/>
                      <w14:textFill>
                        <w14:solidFill>
                          <w14:schemeClr w14:val="tx1"/>
                        </w14:solidFill>
                      </w14:textFill>
                    </w:rPr>
                    <w:t>杆塔型式为典型送出铁塔，杆塔数量</w:t>
                  </w:r>
                  <w:r>
                    <w:rPr>
                      <w:rFonts w:hint="eastAsia"/>
                      <w:color w:val="000000" w:themeColor="text1"/>
                      <w:lang w:val="en-US" w:eastAsia="zh-CN"/>
                      <w14:textFill>
                        <w14:solidFill>
                          <w14:schemeClr w14:val="tx1"/>
                        </w14:solidFill>
                      </w14:textFill>
                    </w:rPr>
                    <w:t>70</w:t>
                  </w:r>
                  <w:r>
                    <w:rPr>
                      <w:rFonts w:ascii="Times New Roman" w:hAnsi="Times New Roman"/>
                      <w:color w:val="000000" w:themeColor="text1"/>
                      <w14:textFill>
                        <w14:solidFill>
                          <w14:schemeClr w14:val="tx1"/>
                        </w14:solidFill>
                      </w14:textFill>
                    </w:rPr>
                    <w:t>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restart"/>
                  <w:tcBorders>
                    <w:tl2br w:val="nil"/>
                    <w:tr2bl w:val="nil"/>
                  </w:tcBorders>
                  <w:shd w:val="clear" w:color="auto" w:fill="auto"/>
                  <w:vAlign w:val="center"/>
                </w:tcPr>
                <w:p>
                  <w:pPr>
                    <w:adjustRightInd w:val="0"/>
                    <w:snapToGrid w:val="0"/>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临时工程</w:t>
                  </w:r>
                </w:p>
              </w:tc>
              <w:tc>
                <w:tcPr>
                  <w:tcW w:w="1439" w:type="dxa"/>
                  <w:gridSpan w:val="2"/>
                  <w:tcBorders>
                    <w:tl2br w:val="nil"/>
                    <w:tr2bl w:val="nil"/>
                  </w:tcBorders>
                  <w:shd w:val="clear" w:color="auto" w:fill="auto"/>
                  <w:vAlign w:val="center"/>
                </w:tcPr>
                <w:p>
                  <w:pPr>
                    <w:snapToGrid w:val="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施工临建</w:t>
                  </w:r>
                </w:p>
                <w:p>
                  <w:pPr>
                    <w:snapToGrid w:val="0"/>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场地</w:t>
                  </w:r>
                </w:p>
              </w:tc>
              <w:tc>
                <w:tcPr>
                  <w:tcW w:w="6018" w:type="dxa"/>
                  <w:tcBorders>
                    <w:tl2br w:val="nil"/>
                    <w:tr2bl w:val="nil"/>
                  </w:tcBorders>
                  <w:shd w:val="clear" w:color="auto" w:fill="auto"/>
                  <w:vAlign w:val="center"/>
                </w:tcPr>
                <w:p>
                  <w:pPr>
                    <w:autoSpaceDE w:val="0"/>
                    <w:autoSpaceDN w:val="0"/>
                    <w:adjustRightInd w:val="0"/>
                    <w:snapToGrid w:val="0"/>
                    <w:rPr>
                      <w:rFonts w:hint="default" w:ascii="Times New Roman" w:hAnsi="Times New Roman"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施工临建场地利用35kV开关站用地，不新增临时用地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snapToGrid w:val="0"/>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施工道路</w:t>
                  </w:r>
                </w:p>
              </w:tc>
              <w:tc>
                <w:tcPr>
                  <w:tcW w:w="6018" w:type="dxa"/>
                  <w:tcBorders>
                    <w:tl2br w:val="nil"/>
                    <w:tr2bl w:val="nil"/>
                  </w:tcBorders>
                  <w:shd w:val="clear" w:color="auto" w:fill="auto"/>
                  <w:vAlign w:val="center"/>
                </w:tcPr>
                <w:p>
                  <w:pPr>
                    <w:autoSpaceDE w:val="0"/>
                    <w:autoSpaceDN w:val="0"/>
                    <w:adjustRightInd w:val="0"/>
                    <w:snapToGrid w:val="0"/>
                    <w:rPr>
                      <w:rFonts w:hint="default" w:ascii="Times New Roman" w:hAnsi="Times New Roman"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施工道路为厂内新建及改建道路，新建道路总长度约2.651km，改建道路总长度约2.77km，总道路临时占地为1.6025hm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，占地性质为耕地（属于基本农田），施工完成后进行生态恢复，恢复原耕种条件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snapToGrid w:val="0"/>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组装及吊装场地</w:t>
                  </w:r>
                </w:p>
              </w:tc>
              <w:tc>
                <w:tcPr>
                  <w:tcW w:w="6018" w:type="dxa"/>
                  <w:tcBorders>
                    <w:tl2br w:val="nil"/>
                    <w:tr2bl w:val="nil"/>
                  </w:tcBorders>
                  <w:shd w:val="clear" w:color="auto" w:fill="auto"/>
                  <w:vAlign w:val="center"/>
                </w:tcPr>
                <w:p>
                  <w:pPr>
                    <w:autoSpaceDE w:val="0"/>
                    <w:autoSpaceDN w:val="0"/>
                    <w:adjustRightInd w:val="0"/>
                    <w:snapToGrid w:val="0"/>
                    <w:rPr>
                      <w:rFonts w:hint="default" w:ascii="Times New Roman" w:hAnsi="Times New Roman" w:eastAsia="宋体"/>
                      <w:color w:val="000000" w:themeColor="text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组装及吊装场地为临时用地，占地面积1.600hm</w:t>
                  </w:r>
                  <w:r>
                    <w:rPr>
                      <w:rFonts w:hint="eastAsia"/>
                      <w:color w:val="000000" w:themeColor="text1"/>
                      <w:sz w:val="21"/>
                      <w:szCs w:val="21"/>
                      <w:vertAlign w:val="superscript"/>
                      <w:lang w:val="en-US" w:eastAsia="zh-CN"/>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，占地性质为耕地（属于基本农田），施工完成后进行生态恢复，恢复原耕种条件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74" w:type="dxa"/>
                  <w:vMerge w:val="restart"/>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公用工程</w:t>
                  </w:r>
                </w:p>
              </w:tc>
              <w:tc>
                <w:tcPr>
                  <w:tcW w:w="1439" w:type="dxa"/>
                  <w:gridSpan w:val="2"/>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供水</w:t>
                  </w:r>
                </w:p>
              </w:tc>
              <w:tc>
                <w:tcPr>
                  <w:tcW w:w="6018" w:type="dxa"/>
                  <w:tcBorders>
                    <w:tl2br w:val="nil"/>
                    <w:tr2bl w:val="nil"/>
                  </w:tcBorders>
                  <w:shd w:val="clear" w:color="auto" w:fill="auto"/>
                  <w:vAlign w:val="center"/>
                </w:tcPr>
                <w:p>
                  <w:pPr>
                    <w:adjustRightInd w:val="0"/>
                    <w:snapToGrid w:val="0"/>
                    <w:rPr>
                      <w:rFonts w:ascii="Times New Roman" w:hAnsi="Times New Roman"/>
                      <w:color w:val="000000" w:themeColor="text1"/>
                      <w14:textFill>
                        <w14:solidFill>
                          <w14:schemeClr w14:val="tx1"/>
                        </w14:solidFill>
                      </w14:textFill>
                    </w:rPr>
                  </w:pPr>
                  <w:r>
                    <w:rPr>
                      <w:rFonts w:hint="default" w:ascii="Times New Roman" w:hAnsi="Times New Roman" w:cs="Times New Roman"/>
                      <w:color w:val="FF0000"/>
                    </w:rPr>
                    <w:t>施工生产用水水源依托村庄农户用水，施工临建场地</w:t>
                  </w:r>
                  <w:r>
                    <w:rPr>
                      <w:rFonts w:hint="eastAsia" w:cs="Times New Roman"/>
                      <w:color w:val="FF0000"/>
                      <w:lang w:eastAsia="zh-CN"/>
                    </w:rPr>
                    <w:t>、</w:t>
                  </w:r>
                  <w:r>
                    <w:rPr>
                      <w:rFonts w:hint="default" w:ascii="Times New Roman" w:hAnsi="Times New Roman" w:cs="Times New Roman"/>
                      <w:color w:val="FF0000"/>
                    </w:rPr>
                    <w:t>各</w:t>
                  </w:r>
                  <w:r>
                    <w:rPr>
                      <w:rFonts w:hint="default" w:ascii="Times New Roman" w:hAnsi="Times New Roman" w:cs="Times New Roman"/>
                      <w:color w:val="FF0000"/>
                      <w:kern w:val="0"/>
                      <w:szCs w:val="21"/>
                    </w:rPr>
                    <w:t>风力发电机组基础和道路施工等用水可用</w:t>
                  </w:r>
                  <w:r>
                    <w:rPr>
                      <w:rFonts w:hint="default" w:ascii="Times New Roman" w:hAnsi="Times New Roman" w:cs="Times New Roman"/>
                      <w:color w:val="FF0000"/>
                    </w:rPr>
                    <w:t>罐车或者水箱从村庄取水</w:t>
                  </w:r>
                  <w:r>
                    <w:rPr>
                      <w:rFonts w:hint="default" w:ascii="Times New Roman" w:hAnsi="Times New Roman" w:cs="Times New Roman"/>
                      <w:color w:val="FF0000"/>
                      <w:kern w:val="0"/>
                      <w:szCs w:val="21"/>
                    </w:rPr>
                    <w:t>。生活用水依托农户用水，采取从附近村庄拉运的方式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Merge w:val="continue"/>
                  <w:tcBorders>
                    <w:tl2br w:val="nil"/>
                    <w:tr2bl w:val="nil"/>
                  </w:tcBorders>
                  <w:shd w:val="clear" w:color="auto" w:fill="auto"/>
                  <w:vAlign w:val="center"/>
                </w:tcPr>
                <w:p>
                  <w:pPr>
                    <w:adjustRightInd w:val="0"/>
                    <w:snapToGrid w:val="0"/>
                    <w:rPr>
                      <w:rFonts w:ascii="Times New Roman" w:hAnsi="Times New Roman"/>
                      <w:color w:val="000000" w:themeColor="text1"/>
                      <w14:textFill>
                        <w14:solidFill>
                          <w14:schemeClr w14:val="tx1"/>
                        </w14:solidFill>
                      </w14:textFill>
                    </w:rPr>
                  </w:pPr>
                </w:p>
              </w:tc>
              <w:tc>
                <w:tcPr>
                  <w:tcW w:w="1439" w:type="dxa"/>
                  <w:gridSpan w:val="2"/>
                  <w:tcBorders>
                    <w:tl2br w:val="nil"/>
                    <w:tr2bl w:val="nil"/>
                  </w:tcBorders>
                  <w:shd w:val="clear" w:color="auto" w:fill="auto"/>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szCs w:val="21"/>
                      <w14:textFill>
                        <w14:solidFill>
                          <w14:schemeClr w14:val="tx1"/>
                        </w14:solidFill>
                      </w14:textFill>
                    </w:rPr>
                    <w:t>排水</w:t>
                  </w:r>
                </w:p>
              </w:tc>
              <w:tc>
                <w:tcPr>
                  <w:tcW w:w="6018" w:type="dxa"/>
                  <w:tcBorders>
                    <w:tl2br w:val="nil"/>
                    <w:tr2bl w:val="nil"/>
                  </w:tcBorders>
                  <w:shd w:val="clear" w:color="auto" w:fill="auto"/>
                  <w:vAlign w:val="center"/>
                </w:tcPr>
                <w:p>
                  <w:pPr>
                    <w:adjustRightInd w:val="0"/>
                    <w:snapToGrid w:val="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①施工排水：施工期生产废水通过沉淀池(</w:t>
                  </w:r>
                  <w:r>
                    <w:rPr>
                      <w:rFonts w:hint="eastAsia"/>
                      <w:color w:val="000000" w:themeColor="text1"/>
                      <w:kern w:val="0"/>
                      <w:szCs w:val="21"/>
                      <w:lang w:val="en-US" w:eastAsia="zh-CN"/>
                      <w14:textFill>
                        <w14:solidFill>
                          <w14:schemeClr w14:val="tx1"/>
                        </w14:solidFill>
                      </w14:textFill>
                    </w:rPr>
                    <w:t>8</w:t>
                  </w:r>
                  <w:r>
                    <w:rPr>
                      <w:rFonts w:ascii="Times New Roman" w:hAnsi="Times New Roman"/>
                      <w:color w:val="000000" w:themeColor="text1"/>
                      <w:kern w:val="0"/>
                      <w:szCs w:val="21"/>
                      <w14:textFill>
                        <w14:solidFill>
                          <w14:schemeClr w14:val="tx1"/>
                        </w14:solidFill>
                      </w14:textFill>
                    </w:rPr>
                    <w:t>m</w:t>
                  </w:r>
                  <w:r>
                    <w:rPr>
                      <w:rFonts w:ascii="Times New Roman" w:hAnsi="Times New Roman"/>
                      <w:color w:val="000000" w:themeColor="text1"/>
                      <w:kern w:val="0"/>
                      <w:szCs w:val="21"/>
                      <w:vertAlign w:val="superscript"/>
                      <w14:textFill>
                        <w14:solidFill>
                          <w14:schemeClr w14:val="tx1"/>
                        </w14:solidFill>
                      </w14:textFill>
                    </w:rPr>
                    <w:t>3</w:t>
                  </w:r>
                  <w:r>
                    <w:rPr>
                      <w:rFonts w:ascii="Times New Roman" w:hAnsi="Times New Roman"/>
                      <w:color w:val="000000" w:themeColor="text1"/>
                      <w:kern w:val="0"/>
                      <w:szCs w:val="21"/>
                      <w14:textFill>
                        <w14:solidFill>
                          <w14:schemeClr w14:val="tx1"/>
                        </w14:solidFill>
                      </w14:textFill>
                    </w:rPr>
                    <w:t>)沉淀后回用于施工环节，生活污水排入</w:t>
                  </w:r>
                  <w:r>
                    <w:rPr>
                      <w:rFonts w:hint="eastAsia" w:ascii="Times New Roman" w:hAnsi="Times New Roman"/>
                      <w:color w:val="000000" w:themeColor="text1"/>
                      <w:kern w:val="0"/>
                      <w:szCs w:val="21"/>
                      <w:lang w:eastAsia="zh-CN"/>
                      <w14:textFill>
                        <w14:solidFill>
                          <w14:schemeClr w14:val="tx1"/>
                        </w14:solidFill>
                      </w14:textFill>
                    </w:rPr>
                    <w:t>环保厕所</w:t>
                  </w:r>
                  <w:r>
                    <w:rPr>
                      <w:rFonts w:ascii="Times New Roman" w:hAnsi="Times New Roman"/>
                      <w:color w:val="000000" w:themeColor="text1"/>
                      <w:kern w:val="0"/>
                      <w:szCs w:val="21"/>
                      <w14:textFill>
                        <w14:solidFill>
                          <w14:schemeClr w14:val="tx1"/>
                        </w14:solidFill>
                      </w14:textFill>
                    </w:rPr>
                    <w:t>，用于附近农田施肥；盥洗废水用于洒水抑尘；</w:t>
                  </w:r>
                </w:p>
                <w:p>
                  <w:pPr>
                    <w:adjustRightInd w:val="0"/>
                    <w:snapToGrid w:val="0"/>
                    <w:rPr>
                      <w:rFonts w:hint="default" w:ascii="Times New Roman" w:hAnsi="Times New Roman" w:eastAsia="宋体"/>
                      <w:color w:val="000000" w:themeColor="text1"/>
                      <w:kern w:val="0"/>
                      <w:szCs w:val="21"/>
                      <w:lang w:val="en-US" w:eastAsia="zh-CN"/>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②运营期排水：</w:t>
                  </w:r>
                  <w:r>
                    <w:rPr>
                      <w:rFonts w:hint="eastAsia"/>
                      <w:color w:val="000000" w:themeColor="text1"/>
                      <w:kern w:val="0"/>
                      <w:szCs w:val="21"/>
                      <w:lang w:val="en-US" w:eastAsia="zh-CN"/>
                      <w14:textFill>
                        <w14:solidFill>
                          <w14:schemeClr w14:val="tx1"/>
                        </w14:solidFill>
                      </w14:textFill>
                    </w:rPr>
                    <w:t>35kV开关站为无人值守，运营期无废水产生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4" w:type="dxa"/>
                  <w:vMerge w:val="continue"/>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供电</w:t>
                  </w:r>
                </w:p>
              </w:tc>
              <w:tc>
                <w:tcPr>
                  <w:tcW w:w="6018" w:type="dxa"/>
                  <w:tcBorders>
                    <w:tl2br w:val="nil"/>
                    <w:tr2bl w:val="nil"/>
                  </w:tcBorders>
                  <w:shd w:val="clear" w:color="auto" w:fill="auto"/>
                  <w:vAlign w:val="center"/>
                </w:tcPr>
                <w:p>
                  <w:pPr>
                    <w:adjustRightInd w:val="0"/>
                    <w:snapToGrid w:val="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①从附近村庄10kV</w:t>
                  </w:r>
                  <w:r>
                    <w:rPr>
                      <w:rFonts w:hint="eastAsia"/>
                      <w:color w:val="000000" w:themeColor="text1"/>
                      <w:kern w:val="0"/>
                      <w:szCs w:val="21"/>
                      <w:lang w:val="en-US" w:eastAsia="zh-CN"/>
                      <w14:textFill>
                        <w14:solidFill>
                          <w14:schemeClr w14:val="tx1"/>
                        </w14:solidFill>
                      </w14:textFill>
                    </w:rPr>
                    <w:t>架空</w:t>
                  </w:r>
                  <w:r>
                    <w:rPr>
                      <w:rFonts w:ascii="Times New Roman" w:hAnsi="Times New Roman"/>
                      <w:color w:val="000000" w:themeColor="text1"/>
                      <w:kern w:val="0"/>
                      <w:szCs w:val="21"/>
                      <w14:textFill>
                        <w14:solidFill>
                          <w14:schemeClr w14:val="tx1"/>
                        </w14:solidFill>
                      </w14:textFill>
                    </w:rPr>
                    <w:t>线路引接，</w:t>
                  </w:r>
                  <w:r>
                    <w:rPr>
                      <w:rFonts w:hint="eastAsia"/>
                      <w:color w:val="000000" w:themeColor="text1"/>
                      <w:kern w:val="0"/>
                      <w:szCs w:val="21"/>
                      <w:lang w:val="en-US" w:eastAsia="zh-CN"/>
                      <w14:textFill>
                        <w14:solidFill>
                          <w14:schemeClr w14:val="tx1"/>
                        </w14:solidFill>
                      </w14:textFill>
                    </w:rPr>
                    <w:t>并</w:t>
                  </w:r>
                  <w:r>
                    <w:rPr>
                      <w:rFonts w:ascii="Times New Roman" w:hAnsi="Times New Roman"/>
                      <w:color w:val="000000" w:themeColor="text1"/>
                      <w:kern w:val="0"/>
                      <w:szCs w:val="21"/>
                      <w14:textFill>
                        <w14:solidFill>
                          <w14:schemeClr w14:val="tx1"/>
                        </w14:solidFill>
                      </w14:textFill>
                    </w:rPr>
                    <w:t>安装一台变压器，经变压器降压后引线至各施工用电点</w:t>
                  </w:r>
                  <w:r>
                    <w:rPr>
                      <w:rFonts w:hint="eastAsia"/>
                      <w:color w:val="000000" w:themeColor="text1"/>
                      <w:kern w:val="0"/>
                      <w:szCs w:val="21"/>
                      <w:lang w:eastAsia="zh-CN"/>
                      <w14:textFill>
                        <w14:solidFill>
                          <w14:schemeClr w14:val="tx1"/>
                        </w14:solidFill>
                      </w14:textFill>
                    </w:rPr>
                    <w:t>，</w:t>
                  </w:r>
                  <w:r>
                    <w:rPr>
                      <w:rFonts w:ascii="Times New Roman" w:hAnsi="Times New Roman"/>
                      <w:color w:val="000000" w:themeColor="text1"/>
                      <w:kern w:val="0"/>
                      <w:szCs w:val="21"/>
                      <w14:textFill>
                        <w14:solidFill>
                          <w14:schemeClr w14:val="tx1"/>
                        </w14:solidFill>
                      </w14:textFill>
                    </w:rPr>
                    <w:t>另设</w:t>
                  </w:r>
                  <w:r>
                    <w:rPr>
                      <w:rFonts w:hint="eastAsia"/>
                      <w:color w:val="000000" w:themeColor="text1"/>
                      <w:kern w:val="0"/>
                      <w:szCs w:val="21"/>
                      <w:lang w:val="en-US" w:eastAsia="zh-CN"/>
                      <w14:textFill>
                        <w14:solidFill>
                          <w14:schemeClr w14:val="tx1"/>
                        </w14:solidFill>
                      </w14:textFill>
                    </w:rPr>
                    <w:t>2</w:t>
                  </w:r>
                  <w:r>
                    <w:rPr>
                      <w:rFonts w:ascii="Times New Roman" w:hAnsi="Times New Roman"/>
                      <w:color w:val="000000" w:themeColor="text1"/>
                      <w:kern w:val="0"/>
                      <w:szCs w:val="21"/>
                      <w14:textFill>
                        <w14:solidFill>
                          <w14:schemeClr w14:val="tx1"/>
                        </w14:solidFill>
                      </w14:textFill>
                    </w:rPr>
                    <w:t>台50kW移动式柴油发电机作为辅助用电；</w:t>
                  </w:r>
                </w:p>
                <w:p>
                  <w:pPr>
                    <w:adjustRightInd w:val="0"/>
                    <w:snapToGrid w:val="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②运行期所需电力依托</w:t>
                  </w:r>
                  <w:r>
                    <w:rPr>
                      <w:rFonts w:hint="eastAsia"/>
                      <w:color w:val="000000" w:themeColor="text1"/>
                      <w:kern w:val="0"/>
                      <w:szCs w:val="21"/>
                      <w:lang w:val="en-US" w:eastAsia="zh-CN"/>
                      <w14:textFill>
                        <w14:solidFill>
                          <w14:schemeClr w14:val="tx1"/>
                        </w14:solidFill>
                      </w14:textFill>
                    </w:rPr>
                    <w:t>开关站</w:t>
                  </w:r>
                  <w:r>
                    <w:rPr>
                      <w:rFonts w:ascii="Times New Roman" w:hAnsi="Times New Roman"/>
                      <w:color w:val="000000" w:themeColor="text1"/>
                      <w:kern w:val="0"/>
                      <w:szCs w:val="21"/>
                      <w14:textFill>
                        <w14:solidFill>
                          <w14:schemeClr w14:val="tx1"/>
                        </w14:solidFill>
                      </w14:textFill>
                    </w:rPr>
                    <w:t>自给自足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4" w:type="dxa"/>
                  <w:vMerge w:val="continue"/>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消防</w:t>
                  </w:r>
                </w:p>
              </w:tc>
              <w:tc>
                <w:tcPr>
                  <w:tcW w:w="6018" w:type="dxa"/>
                  <w:tcBorders>
                    <w:tl2br w:val="nil"/>
                    <w:tr2bl w:val="nil"/>
                  </w:tcBorders>
                  <w:shd w:val="clear" w:color="auto" w:fill="auto"/>
                  <w:vAlign w:val="center"/>
                </w:tcPr>
                <w:p>
                  <w:pPr>
                    <w:adjustRightInd w:val="0"/>
                    <w:snapToGrid w:val="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设置消防设备，包括5具手提式磷酸铵盐干粉灭火器、2辆推车式磷酸铵盐干粉灭火器、2具1m</w:t>
                  </w:r>
                  <w:r>
                    <w:rPr>
                      <w:rFonts w:ascii="Times New Roman" w:hAnsi="Times New Roman"/>
                      <w:color w:val="000000" w:themeColor="text1"/>
                      <w:szCs w:val="21"/>
                      <w:vertAlign w:val="superscript"/>
                      <w14:textFill>
                        <w14:solidFill>
                          <w14:schemeClr w14:val="tx1"/>
                        </w14:solidFill>
                      </w14:textFill>
                    </w:rPr>
                    <w:t>3</w:t>
                  </w:r>
                  <w:r>
                    <w:rPr>
                      <w:rFonts w:ascii="Times New Roman" w:hAnsi="Times New Roman"/>
                      <w:color w:val="000000" w:themeColor="text1"/>
                      <w:szCs w:val="21"/>
                      <w14:textFill>
                        <w14:solidFill>
                          <w14:schemeClr w14:val="tx1"/>
                        </w14:solidFill>
                      </w14:textFill>
                    </w:rPr>
                    <w:t>灭火砂箱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74" w:type="dxa"/>
                  <w:vMerge w:val="restart"/>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环保工程</w:t>
                  </w:r>
                </w:p>
              </w:tc>
              <w:tc>
                <w:tcPr>
                  <w:tcW w:w="426" w:type="dxa"/>
                  <w:vMerge w:val="restart"/>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废气</w:t>
                  </w:r>
                </w:p>
              </w:tc>
              <w:tc>
                <w:tcPr>
                  <w:tcW w:w="1013" w:type="dxa"/>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施工期</w:t>
                  </w:r>
                </w:p>
              </w:tc>
              <w:tc>
                <w:tcPr>
                  <w:tcW w:w="6018" w:type="dxa"/>
                  <w:tcBorders>
                    <w:tl2br w:val="nil"/>
                    <w:tr2bl w:val="nil"/>
                  </w:tcBorders>
                  <w:shd w:val="clear" w:color="auto" w:fill="auto"/>
                  <w:vAlign w:val="center"/>
                </w:tcPr>
                <w:p>
                  <w:pPr>
                    <w:autoSpaceDE w:val="0"/>
                    <w:autoSpaceDN w:val="0"/>
                    <w:spacing w:line="24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szCs w:val="21"/>
                      <w14:textFill>
                        <w14:solidFill>
                          <w14:schemeClr w14:val="tx1"/>
                        </w14:solidFill>
                      </w14:textFill>
                    </w:rPr>
                    <w:t>施工扬尘采用洒水抑尘、土方覆盖、场地四周设置围挡等措施；针对施工机械废气要求加强车辆保养</w:t>
                  </w:r>
                  <w:r>
                    <w:rPr>
                      <w:rFonts w:hint="eastAsia" w:ascii="Times New Roman" w:hAnsi="Times New Roman"/>
                      <w:color w:val="000000" w:themeColor="text1"/>
                      <w:szCs w:val="21"/>
                      <w14:textFill>
                        <w14:solidFill>
                          <w14:schemeClr w14:val="tx1"/>
                        </w14:solidFill>
                      </w14:textFill>
                    </w:rPr>
                    <w:t>，确保高效正常运行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74" w:type="dxa"/>
                  <w:vMerge w:val="continue"/>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426" w:type="dxa"/>
                  <w:vMerge w:val="continue"/>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1013" w:type="dxa"/>
                  <w:tcBorders>
                    <w:tl2br w:val="nil"/>
                    <w:tr2bl w:val="nil"/>
                  </w:tcBorders>
                  <w:shd w:val="clear" w:color="auto" w:fill="auto"/>
                  <w:vAlign w:val="center"/>
                </w:tcPr>
                <w:p>
                  <w:pPr>
                    <w:tabs>
                      <w:tab w:val="left" w:pos="480"/>
                    </w:tabs>
                    <w:ind w:right="76" w:rightChars="36"/>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运行期</w:t>
                  </w:r>
                </w:p>
              </w:tc>
              <w:tc>
                <w:tcPr>
                  <w:tcW w:w="6018" w:type="dxa"/>
                  <w:tcBorders>
                    <w:tl2br w:val="nil"/>
                    <w:tr2bl w:val="nil"/>
                  </w:tcBorders>
                  <w:shd w:val="clear" w:color="auto" w:fill="auto"/>
                  <w:vAlign w:val="center"/>
                </w:tcPr>
                <w:p>
                  <w:pPr>
                    <w:autoSpaceDE w:val="0"/>
                    <w:autoSpaceDN w:val="0"/>
                    <w:spacing w:line="24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szCs w:val="21"/>
                      <w14:textFill>
                        <w14:solidFill>
                          <w14:schemeClr w14:val="tx1"/>
                        </w14:solidFill>
                      </w14:textFill>
                    </w:rPr>
                    <w:t>无废气产生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74" w:type="dxa"/>
                  <w:vMerge w:val="continue"/>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426" w:type="dxa"/>
                  <w:vMerge w:val="restart"/>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废水</w:t>
                  </w:r>
                </w:p>
              </w:tc>
              <w:tc>
                <w:tcPr>
                  <w:tcW w:w="1013" w:type="dxa"/>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施工期</w:t>
                  </w:r>
                </w:p>
              </w:tc>
              <w:tc>
                <w:tcPr>
                  <w:tcW w:w="6018" w:type="dxa"/>
                  <w:tcBorders>
                    <w:tl2br w:val="nil"/>
                    <w:tr2bl w:val="nil"/>
                  </w:tcBorders>
                  <w:shd w:val="clear" w:color="auto" w:fill="auto"/>
                  <w:vAlign w:val="center"/>
                </w:tcPr>
                <w:p>
                  <w:pPr>
                    <w:tabs>
                      <w:tab w:val="left" w:pos="480"/>
                    </w:tabs>
                    <w:ind w:right="76" w:rightChars="36"/>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施工废水经沉淀池澄清处理后用于施工车辆冲洗和洒水降尘；施工生活区设置</w:t>
                  </w:r>
                  <w:r>
                    <w:rPr>
                      <w:rFonts w:hint="eastAsia" w:ascii="Times New Roman" w:hAnsi="Times New Roman"/>
                      <w:color w:val="000000" w:themeColor="text1"/>
                      <w:szCs w:val="21"/>
                      <w:lang w:eastAsia="zh-CN"/>
                      <w14:textFill>
                        <w14:solidFill>
                          <w14:schemeClr w14:val="tx1"/>
                        </w14:solidFill>
                      </w14:textFill>
                    </w:rPr>
                    <w:t>环保厕所</w:t>
                  </w:r>
                  <w:r>
                    <w:rPr>
                      <w:rFonts w:ascii="Times New Roman" w:hAnsi="Times New Roman"/>
                      <w:color w:val="000000" w:themeColor="text1"/>
                      <w:szCs w:val="21"/>
                      <w14:textFill>
                        <w14:solidFill>
                          <w14:schemeClr w14:val="tx1"/>
                        </w14:solidFill>
                      </w14:textFill>
                    </w:rPr>
                    <w:t>，定期清掏用作农肥，其他生活盥洗水收集后用于施工场地、道路洒水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74" w:type="dxa"/>
                  <w:vMerge w:val="continue"/>
                  <w:tcBorders>
                    <w:tl2br w:val="nil"/>
                    <w:tr2bl w:val="nil"/>
                  </w:tcBorders>
                  <w:shd w:val="clear" w:color="auto" w:fill="auto"/>
                  <w:vAlign w:val="center"/>
                </w:tcPr>
                <w:p>
                  <w:pPr>
                    <w:tabs>
                      <w:tab w:val="left" w:pos="480"/>
                    </w:tabs>
                    <w:ind w:right="76" w:rightChars="36"/>
                    <w:rPr>
                      <w:rFonts w:ascii="Times New Roman" w:hAnsi="Times New Roman"/>
                      <w:color w:val="000000" w:themeColor="text1"/>
                      <w14:textFill>
                        <w14:solidFill>
                          <w14:schemeClr w14:val="tx1"/>
                        </w14:solidFill>
                      </w14:textFill>
                    </w:rPr>
                  </w:pPr>
                </w:p>
              </w:tc>
              <w:tc>
                <w:tcPr>
                  <w:tcW w:w="426" w:type="dxa"/>
                  <w:vMerge w:val="continue"/>
                  <w:tcBorders>
                    <w:tl2br w:val="nil"/>
                    <w:tr2bl w:val="nil"/>
                  </w:tcBorders>
                  <w:shd w:val="clear" w:color="auto" w:fill="auto"/>
                  <w:vAlign w:val="center"/>
                </w:tcPr>
                <w:p>
                  <w:pPr>
                    <w:tabs>
                      <w:tab w:val="left" w:pos="480"/>
                    </w:tabs>
                    <w:ind w:right="76" w:rightChars="36"/>
                    <w:rPr>
                      <w:rFonts w:ascii="Times New Roman" w:hAnsi="Times New Roman"/>
                      <w:color w:val="000000" w:themeColor="text1"/>
                      <w14:textFill>
                        <w14:solidFill>
                          <w14:schemeClr w14:val="tx1"/>
                        </w14:solidFill>
                      </w14:textFill>
                    </w:rPr>
                  </w:pPr>
                </w:p>
              </w:tc>
              <w:tc>
                <w:tcPr>
                  <w:tcW w:w="1013" w:type="dxa"/>
                  <w:tcBorders>
                    <w:tl2br w:val="nil"/>
                    <w:tr2bl w:val="nil"/>
                  </w:tcBorders>
                  <w:shd w:val="clear" w:color="auto" w:fill="auto"/>
                  <w:vAlign w:val="center"/>
                </w:tcPr>
                <w:p>
                  <w:pPr>
                    <w:tabs>
                      <w:tab w:val="left" w:pos="480"/>
                    </w:tabs>
                    <w:ind w:right="76" w:rightChars="36"/>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运行期</w:t>
                  </w:r>
                </w:p>
              </w:tc>
              <w:tc>
                <w:tcPr>
                  <w:tcW w:w="6018" w:type="dxa"/>
                  <w:tcBorders>
                    <w:tl2br w:val="nil"/>
                    <w:tr2bl w:val="nil"/>
                  </w:tcBorders>
                  <w:shd w:val="clear" w:color="auto" w:fill="auto"/>
                  <w:vAlign w:val="center"/>
                </w:tcPr>
                <w:p>
                  <w:pPr>
                    <w:tabs>
                      <w:tab w:val="left" w:pos="480"/>
                    </w:tabs>
                    <w:ind w:right="76" w:rightChars="36"/>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无废水产生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Merge w:val="continue"/>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426" w:type="dxa"/>
                  <w:vMerge w:val="restart"/>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固废</w:t>
                  </w:r>
                </w:p>
              </w:tc>
              <w:tc>
                <w:tcPr>
                  <w:tcW w:w="1013" w:type="dxa"/>
                  <w:vMerge w:val="restart"/>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施工期</w:t>
                  </w:r>
                </w:p>
              </w:tc>
              <w:tc>
                <w:tcPr>
                  <w:tcW w:w="6018" w:type="dxa"/>
                  <w:tcBorders>
                    <w:tl2br w:val="nil"/>
                    <w:tr2bl w:val="nil"/>
                  </w:tcBorders>
                  <w:shd w:val="clear" w:color="auto" w:fill="auto"/>
                  <w:vAlign w:val="center"/>
                </w:tcPr>
                <w:p>
                  <w:pPr>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施工弃土石用于路面平整，植被恢复；</w:t>
                  </w:r>
                  <w:r>
                    <w:rPr>
                      <w:rFonts w:hint="eastAsia" w:ascii="Times New Roman" w:hAnsi="Times New Roman"/>
                      <w:color w:val="000000" w:themeColor="text1"/>
                      <w:lang w:val="en-US" w:eastAsia="zh-CN"/>
                      <w14:textFill>
                        <w14:solidFill>
                          <w14:schemeClr w14:val="tx1"/>
                        </w14:solidFill>
                      </w14:textFill>
                    </w:rPr>
                    <w:t>建筑垃圾运至建筑垃圾</w:t>
                  </w:r>
                </w:p>
                <w:p>
                  <w:pPr>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填埋场；</w:t>
                  </w:r>
                  <w:r>
                    <w:rPr>
                      <w:rFonts w:ascii="Times New Roman" w:hAnsi="Times New Roman"/>
                      <w:color w:val="000000" w:themeColor="text1"/>
                      <w14:textFill>
                        <w14:solidFill>
                          <w14:schemeClr w14:val="tx1"/>
                        </w14:solidFill>
                      </w14:textFill>
                    </w:rPr>
                    <w:t>生活垃圾由垃圾桶集中收集后，定期拉运，由环卫部门统一处理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674" w:type="dxa"/>
                  <w:vMerge w:val="continue"/>
                  <w:tcBorders>
                    <w:tl2br w:val="nil"/>
                    <w:tr2bl w:val="nil"/>
                  </w:tcBorders>
                  <w:shd w:val="clear" w:color="auto" w:fill="auto"/>
                  <w:vAlign w:val="center"/>
                </w:tcPr>
                <w:p>
                  <w:pPr>
                    <w:jc w:val="left"/>
                    <w:rPr>
                      <w:rFonts w:ascii="Times New Roman" w:hAnsi="Times New Roman"/>
                      <w:color w:val="000000" w:themeColor="text1"/>
                      <w14:textFill>
                        <w14:solidFill>
                          <w14:schemeClr w14:val="tx1"/>
                        </w14:solidFill>
                      </w14:textFill>
                    </w:rPr>
                  </w:pPr>
                </w:p>
              </w:tc>
              <w:tc>
                <w:tcPr>
                  <w:tcW w:w="426" w:type="dxa"/>
                  <w:vMerge w:val="continue"/>
                  <w:tcBorders>
                    <w:tl2br w:val="nil"/>
                    <w:tr2bl w:val="nil"/>
                  </w:tcBorders>
                  <w:shd w:val="clear" w:color="auto" w:fill="auto"/>
                  <w:vAlign w:val="center"/>
                </w:tcPr>
                <w:p>
                  <w:pPr>
                    <w:jc w:val="left"/>
                    <w:rPr>
                      <w:rFonts w:ascii="Times New Roman" w:hAnsi="Times New Roman"/>
                      <w:color w:val="000000" w:themeColor="text1"/>
                      <w14:textFill>
                        <w14:solidFill>
                          <w14:schemeClr w14:val="tx1"/>
                        </w14:solidFill>
                      </w14:textFill>
                    </w:rPr>
                  </w:pPr>
                </w:p>
              </w:tc>
              <w:tc>
                <w:tcPr>
                  <w:tcW w:w="1013" w:type="dxa"/>
                  <w:tcBorders>
                    <w:tl2br w:val="nil"/>
                    <w:tr2bl w:val="nil"/>
                  </w:tcBorders>
                  <w:shd w:val="clear" w:color="auto" w:fill="auto"/>
                  <w:vAlign w:val="center"/>
                </w:tcPr>
                <w:p>
                  <w:pPr>
                    <w:tabs>
                      <w:tab w:val="left" w:pos="480"/>
                    </w:tabs>
                    <w:ind w:right="76" w:rightChars="36"/>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运行期</w:t>
                  </w:r>
                </w:p>
              </w:tc>
              <w:tc>
                <w:tcPr>
                  <w:tcW w:w="6018" w:type="dxa"/>
                  <w:tcBorders>
                    <w:tl2br w:val="nil"/>
                    <w:tr2bl w:val="nil"/>
                  </w:tcBorders>
                  <w:shd w:val="clear" w:color="auto" w:fill="auto"/>
                  <w:vAlign w:val="center"/>
                </w:tcPr>
                <w:p>
                  <w:pPr>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设备检修固废、废变压器油、废润滑油、废变压器属于危险废物，集中收集，</w:t>
                  </w:r>
                  <w:r>
                    <w:rPr>
                      <w:rFonts w:hint="eastAsia" w:ascii="Times New Roman" w:hAnsi="Times New Roman"/>
                      <w:color w:val="000000" w:themeColor="text1"/>
                      <w14:textFill>
                        <w14:solidFill>
                          <w14:schemeClr w14:val="tx1"/>
                        </w14:solidFill>
                      </w14:textFill>
                    </w:rPr>
                    <w:t>暂存</w:t>
                  </w:r>
                  <w:r>
                    <w:rPr>
                      <w:rFonts w:ascii="Times New Roman" w:hAnsi="Times New Roman"/>
                      <w:color w:val="000000" w:themeColor="text1"/>
                      <w14:textFill>
                        <w14:solidFill>
                          <w14:schemeClr w14:val="tx1"/>
                        </w14:solidFill>
                      </w14:textFill>
                    </w:rPr>
                    <w:t>于危废暂存间内（10m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），定期交由有危废处理资质的单位进行规范处置；另外，在风机的每个变压器处设置1个事故油池（</w:t>
                  </w:r>
                  <w:r>
                    <w:rPr>
                      <w:rFonts w:hint="eastAsia"/>
                      <w:color w:val="000000" w:themeColor="text1"/>
                      <w:lang w:val="en-US" w:eastAsia="zh-CN"/>
                      <w14:textFill>
                        <w14:solidFill>
                          <w14:schemeClr w14:val="tx1"/>
                        </w14:solidFill>
                      </w14:textFill>
                    </w:rPr>
                    <w:t>3.0</w:t>
                  </w:r>
                  <w:r>
                    <w:rPr>
                      <w:rFonts w:ascii="Times New Roman" w:hAnsi="Times New Roman"/>
                      <w:color w:val="000000" w:themeColor="text1"/>
                      <w14:textFill>
                        <w14:solidFill>
                          <w14:schemeClr w14:val="tx1"/>
                        </w14:solidFill>
                      </w14:textFill>
                    </w:rPr>
                    <w:t>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），并进行防渗处理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74" w:type="dxa"/>
                  <w:vMerge w:val="continue"/>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426" w:type="dxa"/>
                  <w:vMerge w:val="restart"/>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噪声</w:t>
                  </w:r>
                </w:p>
              </w:tc>
              <w:tc>
                <w:tcPr>
                  <w:tcW w:w="1013" w:type="dxa"/>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施工期</w:t>
                  </w:r>
                </w:p>
              </w:tc>
              <w:tc>
                <w:tcPr>
                  <w:tcW w:w="6018" w:type="dxa"/>
                  <w:tcBorders>
                    <w:tl2br w:val="nil"/>
                    <w:tr2bl w:val="nil"/>
                  </w:tcBorders>
                  <w:shd w:val="clear" w:color="auto" w:fill="auto"/>
                  <w:vAlign w:val="center"/>
                </w:tcPr>
                <w:p>
                  <w:pPr>
                    <w:adjustRightInd w:val="0"/>
                    <w:snapToGrid w:val="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针对机械设备噪声和交通噪声，要求合理布置场地、安排施工工序，在经过居民区时限速行驶、禁止鸣笛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74" w:type="dxa"/>
                  <w:vMerge w:val="continue"/>
                  <w:tcBorders>
                    <w:tl2br w:val="nil"/>
                    <w:tr2bl w:val="nil"/>
                  </w:tcBorders>
                  <w:shd w:val="clear" w:color="auto" w:fill="auto"/>
                  <w:vAlign w:val="center"/>
                </w:tcPr>
                <w:p>
                  <w:pPr>
                    <w:adjustRightInd w:val="0"/>
                    <w:snapToGrid w:val="0"/>
                    <w:jc w:val="center"/>
                    <w:rPr>
                      <w:rFonts w:ascii="Times New Roman" w:hAnsi="Times New Roman"/>
                      <w:color w:val="000000" w:themeColor="text1"/>
                      <w14:textFill>
                        <w14:solidFill>
                          <w14:schemeClr w14:val="tx1"/>
                        </w14:solidFill>
                      </w14:textFill>
                    </w:rPr>
                  </w:pPr>
                </w:p>
              </w:tc>
              <w:tc>
                <w:tcPr>
                  <w:tcW w:w="426" w:type="dxa"/>
                  <w:vMerge w:val="continue"/>
                  <w:tcBorders>
                    <w:tl2br w:val="nil"/>
                    <w:tr2bl w:val="nil"/>
                  </w:tcBorders>
                  <w:shd w:val="clear" w:color="auto" w:fill="auto"/>
                  <w:vAlign w:val="center"/>
                </w:tcPr>
                <w:p>
                  <w:pPr>
                    <w:adjustRightInd w:val="0"/>
                    <w:snapToGrid w:val="0"/>
                    <w:jc w:val="center"/>
                    <w:rPr>
                      <w:rFonts w:ascii="Times New Roman" w:hAnsi="Times New Roman"/>
                      <w:color w:val="000000" w:themeColor="text1"/>
                      <w14:textFill>
                        <w14:solidFill>
                          <w14:schemeClr w14:val="tx1"/>
                        </w14:solidFill>
                      </w14:textFill>
                    </w:rPr>
                  </w:pPr>
                </w:p>
              </w:tc>
              <w:tc>
                <w:tcPr>
                  <w:tcW w:w="1013" w:type="dxa"/>
                  <w:tcBorders>
                    <w:tl2br w:val="nil"/>
                    <w:tr2bl w:val="nil"/>
                  </w:tcBorders>
                  <w:shd w:val="clear" w:color="auto" w:fill="auto"/>
                  <w:vAlign w:val="center"/>
                </w:tcPr>
                <w:p>
                  <w:pPr>
                    <w:tabs>
                      <w:tab w:val="left" w:pos="480"/>
                    </w:tabs>
                    <w:ind w:right="76" w:rightChars="36"/>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运行期</w:t>
                  </w:r>
                </w:p>
              </w:tc>
              <w:tc>
                <w:tcPr>
                  <w:tcW w:w="6018" w:type="dxa"/>
                  <w:tcBorders>
                    <w:tl2br w:val="nil"/>
                    <w:tr2bl w:val="nil"/>
                  </w:tcBorders>
                  <w:shd w:val="clear" w:color="auto" w:fill="auto"/>
                  <w:vAlign w:val="center"/>
                </w:tcPr>
                <w:p>
                  <w:pPr>
                    <w:adjustRightInd w:val="0"/>
                    <w:snapToGrid w:val="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针对风力发电机转动时产生的噪声，选用隔音防震型，变速齿轮箱为减噪型，叶片用减速叶片等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p>
              </w:tc>
              <w:tc>
                <w:tcPr>
                  <w:tcW w:w="1439" w:type="dxa"/>
                  <w:gridSpan w:val="2"/>
                  <w:tcBorders>
                    <w:tl2br w:val="nil"/>
                    <w:tr2bl w:val="nil"/>
                  </w:tcBorders>
                  <w:shd w:val="clear" w:color="auto" w:fill="auto"/>
                  <w:vAlign w:val="center"/>
                </w:tcPr>
                <w:p>
                  <w:pPr>
                    <w:adjustRightInd w:val="0"/>
                    <w:snapToGri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生态环境</w:t>
                  </w:r>
                </w:p>
              </w:tc>
              <w:tc>
                <w:tcPr>
                  <w:tcW w:w="6018" w:type="dxa"/>
                  <w:tcBorders>
                    <w:tl2br w:val="nil"/>
                    <w:tr2bl w:val="nil"/>
                  </w:tcBorders>
                  <w:shd w:val="clear" w:color="auto" w:fill="auto"/>
                  <w:vAlign w:val="center"/>
                </w:tcPr>
                <w:p>
                  <w:pPr>
                    <w:adjustRightInd w:val="0"/>
                    <w:snapToGrid w:val="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生态保护：优化风电机组位置，减少对</w:t>
                  </w:r>
                  <w:r>
                    <w:rPr>
                      <w:rFonts w:hint="eastAsia" w:ascii="Times New Roman" w:hAnsi="Times New Roman"/>
                      <w:color w:val="000000" w:themeColor="text1"/>
                      <w:szCs w:val="21"/>
                      <w14:textFill>
                        <w14:solidFill>
                          <w14:schemeClr w14:val="tx1"/>
                        </w14:solidFill>
                      </w14:textFill>
                    </w:rPr>
                    <w:t>农作物的</w:t>
                  </w:r>
                  <w:r>
                    <w:rPr>
                      <w:rFonts w:ascii="Times New Roman" w:hAnsi="Times New Roman"/>
                      <w:color w:val="000000" w:themeColor="text1"/>
                      <w:szCs w:val="21"/>
                      <w14:textFill>
                        <w14:solidFill>
                          <w14:schemeClr w14:val="tx1"/>
                        </w14:solidFill>
                      </w14:textFill>
                    </w:rPr>
                    <w:t>破坏。施工期合理安排时间，减少施工临时占地；对临时占地及时进行土地复垦，恢复原耕种条件，及时进行复垦验收和耕种</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对于永久性占地采取生态补偿</w:t>
                  </w:r>
                </w:p>
              </w:tc>
            </w:tr>
            <w:bookmarkEnd w:id="7"/>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3、工程占地情况</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（1）永久占地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imes New Roman" w:hAnsi="Times New Roman"/>
                <w:color w:val="000000" w:themeColor="text1"/>
                <w:sz w:val="24"/>
                <w14:textFill>
                  <w14:solidFill>
                    <w14:schemeClr w14:val="tx1"/>
                  </w14:solidFill>
                </w14:textFill>
              </w:rPr>
            </w:pPr>
            <w:bookmarkStart w:id="10" w:name="_Hlk58330844"/>
            <w:r>
              <w:rPr>
                <w:rFonts w:ascii="Times New Roman" w:hAnsi="Times New Roman"/>
                <w:color w:val="000000" w:themeColor="text1"/>
                <w:sz w:val="24"/>
                <w14:textFill>
                  <w14:solidFill>
                    <w14:schemeClr w14:val="tx1"/>
                  </w14:solidFill>
                </w14:textFill>
              </w:rPr>
              <w:t>永久性占地包括风电机组基础、箱变基础及</w:t>
            </w:r>
            <w:r>
              <w:rPr>
                <w:rFonts w:hint="eastAsia"/>
                <w:color w:val="000000" w:themeColor="text1"/>
                <w:sz w:val="24"/>
                <w:lang w:val="en-US" w:eastAsia="zh-CN"/>
                <w14:textFill>
                  <w14:solidFill>
                    <w14:schemeClr w14:val="tx1"/>
                  </w14:solidFill>
                </w14:textFill>
              </w:rPr>
              <w:t>35kV开关站</w:t>
            </w:r>
            <w:r>
              <w:rPr>
                <w:rFonts w:ascii="Times New Roman" w:hAnsi="Times New Roman"/>
                <w:color w:val="000000" w:themeColor="text1"/>
                <w:sz w:val="24"/>
                <w14:textFill>
                  <w14:solidFill>
                    <w14:schemeClr w14:val="tx1"/>
                  </w14:solidFill>
                </w14:textFill>
              </w:rPr>
              <w:t>占地，总占地面积为</w:t>
            </w:r>
            <w:r>
              <w:rPr>
                <w:rFonts w:hint="eastAsia"/>
                <w:color w:val="000000" w:themeColor="text1"/>
                <w:sz w:val="24"/>
                <w:lang w:val="en-US" w:eastAsia="zh-CN"/>
                <w14:textFill>
                  <w14:solidFill>
                    <w14:schemeClr w14:val="tx1"/>
                  </w14:solidFill>
                </w14:textFill>
              </w:rPr>
              <w:t>0.7228</w:t>
            </w:r>
            <w:r>
              <w:rPr>
                <w:rFonts w:ascii="Times New Roman" w:hAnsi="Times New Roman"/>
                <w:color w:val="000000" w:themeColor="text1"/>
                <w:sz w:val="24"/>
                <w14:textFill>
                  <w14:solidFill>
                    <w14:schemeClr w14:val="tx1"/>
                  </w14:solidFill>
                </w14:textFill>
              </w:rPr>
              <w:t>hm</w:t>
            </w:r>
            <w:r>
              <w:rPr>
                <w:rFonts w:ascii="Times New Roman" w:hAnsi="Times New Roman"/>
                <w:color w:val="000000" w:themeColor="text1"/>
                <w:sz w:val="24"/>
                <w:vertAlign w:val="super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w:t>
            </w:r>
            <w:bookmarkEnd w:id="10"/>
            <w:r>
              <w:rPr>
                <w:rFonts w:ascii="Times New Roman" w:hAnsi="Times New Roman"/>
                <w:color w:val="000000" w:themeColor="text1"/>
                <w:sz w:val="24"/>
                <w14:textFill>
                  <w14:solidFill>
                    <w14:schemeClr w14:val="tx1"/>
                  </w14:solidFill>
                </w14:textFill>
              </w:rPr>
              <w:t>本项目永久占地情况见下表1-6。</w:t>
            </w:r>
          </w:p>
          <w:p>
            <w:pPr>
              <w:pStyle w:val="40"/>
              <w:ind w:firstLine="480" w:firstLineChars="200"/>
              <w:jc w:val="center"/>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 xml:space="preserve">表1-6 </w:t>
            </w:r>
            <w:r>
              <w:rPr>
                <w:rFonts w:hint="eastAsia" w:ascii="Times New Roman" w:hAnsi="Times New Roman"/>
                <w:color w:val="000000" w:themeColor="text1"/>
                <w:lang w:val="en-US" w:eastAsia="zh-CN"/>
                <w14:textFill>
                  <w14:solidFill>
                    <w14:schemeClr w14:val="tx1"/>
                  </w14:solidFill>
                </w14:textFill>
              </w:rPr>
              <w:t xml:space="preserve"> </w:t>
            </w:r>
            <w:r>
              <w:rPr>
                <w:rFonts w:hint="default" w:ascii="Times New Roman" w:hAnsi="Times New Roman"/>
                <w:color w:val="000000" w:themeColor="text1"/>
                <w14:textFill>
                  <w14:solidFill>
                    <w14:schemeClr w14:val="tx1"/>
                  </w14:solidFill>
                </w14:textFill>
              </w:rPr>
              <w:t>永久占地情况</w:t>
            </w:r>
          </w:p>
          <w:tbl>
            <w:tblPr>
              <w:tblStyle w:val="1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415"/>
              <w:gridCol w:w="2501"/>
              <w:gridCol w:w="31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566" w:type="pct"/>
                  <w:gridSpan w:val="2"/>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项目</w:t>
                  </w:r>
                </w:p>
              </w:tc>
              <w:tc>
                <w:tcPr>
                  <w:tcW w:w="1532" w:type="pct"/>
                  <w:tcBorders>
                    <w:tl2br w:val="nil"/>
                    <w:tr2bl w:val="nil"/>
                  </w:tcBorders>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占地面积（hm</w:t>
                  </w:r>
                  <w:r>
                    <w:rPr>
                      <w:rFonts w:ascii="Times New Roman" w:hAnsi="Times New Roman"/>
                      <w:color w:val="000000" w:themeColor="text1"/>
                      <w:szCs w:val="21"/>
                      <w:vertAlign w:val="superscript"/>
                      <w14:textFill>
                        <w14:solidFill>
                          <w14:schemeClr w14:val="tx1"/>
                        </w14:solidFill>
                      </w14:textFill>
                    </w:rPr>
                    <w:t>2</w:t>
                  </w:r>
                  <w:r>
                    <w:rPr>
                      <w:rFonts w:ascii="Times New Roman" w:hAnsi="Times New Roman"/>
                      <w:color w:val="000000" w:themeColor="text1"/>
                      <w:szCs w:val="21"/>
                      <w14:textFill>
                        <w14:solidFill>
                          <w14:schemeClr w14:val="tx1"/>
                        </w14:solidFill>
                      </w14:textFill>
                    </w:rPr>
                    <w:t>）</w:t>
                  </w:r>
                </w:p>
              </w:tc>
              <w:tc>
                <w:tcPr>
                  <w:tcW w:w="1901" w:type="pct"/>
                  <w:tcBorders>
                    <w:tl2br w:val="nil"/>
                    <w:tr2bl w:val="nil"/>
                  </w:tcBorders>
                </w:tcPr>
                <w:p>
                  <w:pPr>
                    <w:jc w:val="center"/>
                    <w:rPr>
                      <w:rFonts w:hint="eastAsia" w:ascii="Times New Roman" w:hAnsi="Times New Roman" w:eastAsia="宋体"/>
                      <w:color w:val="000000" w:themeColor="text1"/>
                      <w:szCs w:val="21"/>
                      <w:lang w:eastAsia="zh-CN"/>
                      <w14:textFill>
                        <w14:solidFill>
                          <w14:schemeClr w14:val="tx1"/>
                        </w14:solidFill>
                      </w14:textFill>
                    </w:rPr>
                  </w:pPr>
                  <w:r>
                    <w:rPr>
                      <w:rFonts w:ascii="Times New Roman" w:hAnsi="Times New Roman"/>
                      <w:color w:val="000000" w:themeColor="text1"/>
                      <w:szCs w:val="21"/>
                      <w14:textFill>
                        <w14:solidFill>
                          <w14:schemeClr w14:val="tx1"/>
                        </w14:solidFill>
                      </w14:textFill>
                    </w:rPr>
                    <w:t>现状占地</w:t>
                  </w:r>
                  <w:r>
                    <w:rPr>
                      <w:rFonts w:hint="eastAsia"/>
                      <w:color w:val="000000" w:themeColor="text1"/>
                      <w:szCs w:val="21"/>
                      <w:lang w:val="en-US" w:eastAsia="zh-CN"/>
                      <w14:textFill>
                        <w14:solidFill>
                          <w14:schemeClr w14:val="tx1"/>
                        </w14:solidFill>
                      </w14:textFill>
                    </w:rPr>
                    <w:t>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Merge w:val="restar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风电机组基础、箱变基础</w:t>
                  </w:r>
                </w:p>
              </w:tc>
              <w:tc>
                <w:tcPr>
                  <w:tcW w:w="867" w:type="pc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T</w:t>
                  </w:r>
                  <w:r>
                    <w:rPr>
                      <w:rFonts w:ascii="Times New Roman" w:hAnsi="Times New Roman"/>
                      <w:color w:val="000000" w:themeColor="text1"/>
                      <w:szCs w:val="21"/>
                      <w14:textFill>
                        <w14:solidFill>
                          <w14:schemeClr w14:val="tx1"/>
                        </w14:solidFill>
                      </w14:textFill>
                    </w:rPr>
                    <w:t>1风机</w:t>
                  </w:r>
                </w:p>
              </w:tc>
              <w:tc>
                <w:tcPr>
                  <w:tcW w:w="1532" w:type="pct"/>
                  <w:tcBorders>
                    <w:tl2br w:val="nil"/>
                    <w:tr2bl w:val="nil"/>
                  </w:tcBorders>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0.0401</w:t>
                  </w:r>
                </w:p>
              </w:tc>
              <w:tc>
                <w:tcPr>
                  <w:tcW w:w="1901" w:type="pct"/>
                  <w:tcBorders>
                    <w:tl2br w:val="nil"/>
                    <w:tr2bl w:val="nil"/>
                  </w:tcBorders>
                  <w:vAlign w:val="center"/>
                </w:tcPr>
                <w:p>
                  <w:pPr>
                    <w:widowControl/>
                    <w:jc w:val="center"/>
                    <w:textAlignment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一般农地区（水洼地）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867" w:type="pc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T2</w:t>
                  </w:r>
                  <w:r>
                    <w:rPr>
                      <w:rFonts w:ascii="Times New Roman" w:hAnsi="Times New Roman"/>
                      <w:color w:val="000000" w:themeColor="text1"/>
                      <w:szCs w:val="21"/>
                      <w14:textFill>
                        <w14:solidFill>
                          <w14:schemeClr w14:val="tx1"/>
                        </w14:solidFill>
                      </w14:textFill>
                    </w:rPr>
                    <w:t>风机</w:t>
                  </w:r>
                </w:p>
              </w:tc>
              <w:tc>
                <w:tcPr>
                  <w:tcW w:w="1532" w:type="pct"/>
                  <w:tcBorders>
                    <w:tl2br w:val="nil"/>
                    <w:tr2bl w:val="nil"/>
                  </w:tcBorders>
                </w:tcPr>
                <w:p>
                  <w:pPr>
                    <w:jc w:val="center"/>
                    <w:rPr>
                      <w:rFonts w:hint="default" w:ascii="Times New Roman" w:hAnsi="Times New Roman"/>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0.0401</w:t>
                  </w:r>
                </w:p>
              </w:tc>
              <w:tc>
                <w:tcPr>
                  <w:tcW w:w="1901" w:type="pct"/>
                  <w:tcBorders>
                    <w:tl2br w:val="nil"/>
                    <w:tr2bl w:val="nil"/>
                  </w:tcBorders>
                  <w:vAlign w:val="center"/>
                </w:tcPr>
                <w:p>
                  <w:pPr>
                    <w:widowControl/>
                    <w:jc w:val="center"/>
                    <w:textAlignment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一般农地区（果园）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867" w:type="pc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T</w:t>
                  </w:r>
                  <w:r>
                    <w:rPr>
                      <w:rFonts w:ascii="Times New Roman" w:hAnsi="Times New Roman"/>
                      <w:color w:val="000000" w:themeColor="text1"/>
                      <w:szCs w:val="21"/>
                      <w14:textFill>
                        <w14:solidFill>
                          <w14:schemeClr w14:val="tx1"/>
                        </w14:solidFill>
                      </w14:textFill>
                    </w:rPr>
                    <w:t>3风机</w:t>
                  </w:r>
                </w:p>
              </w:tc>
              <w:tc>
                <w:tcPr>
                  <w:tcW w:w="1532" w:type="pct"/>
                  <w:tcBorders>
                    <w:tl2br w:val="nil"/>
                    <w:tr2bl w:val="nil"/>
                  </w:tcBorders>
                </w:tcPr>
                <w:p>
                  <w:pPr>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0.0401</w:t>
                  </w:r>
                </w:p>
              </w:tc>
              <w:tc>
                <w:tcPr>
                  <w:tcW w:w="1901" w:type="pct"/>
                  <w:tcBorders>
                    <w:tl2br w:val="nil"/>
                    <w:tr2bl w:val="nil"/>
                  </w:tcBorders>
                  <w:vAlign w:val="center"/>
                </w:tcPr>
                <w:p>
                  <w:pPr>
                    <w:widowControl/>
                    <w:jc w:val="center"/>
                    <w:textAlignment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一般农地区（水洼地）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867" w:type="pc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T</w:t>
                  </w:r>
                  <w:r>
                    <w:rPr>
                      <w:rFonts w:ascii="Times New Roman" w:hAnsi="Times New Roman"/>
                      <w:color w:val="000000" w:themeColor="text1"/>
                      <w:szCs w:val="21"/>
                      <w14:textFill>
                        <w14:solidFill>
                          <w14:schemeClr w14:val="tx1"/>
                        </w14:solidFill>
                      </w14:textFill>
                    </w:rPr>
                    <w:t>4风机</w:t>
                  </w:r>
                </w:p>
              </w:tc>
              <w:tc>
                <w:tcPr>
                  <w:tcW w:w="1532" w:type="pct"/>
                  <w:tcBorders>
                    <w:tl2br w:val="nil"/>
                    <w:tr2bl w:val="nil"/>
                  </w:tcBorders>
                </w:tcPr>
                <w:p>
                  <w:pPr>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0.0401</w:t>
                  </w:r>
                </w:p>
              </w:tc>
              <w:tc>
                <w:tcPr>
                  <w:tcW w:w="1901" w:type="pct"/>
                  <w:tcBorders>
                    <w:tl2br w:val="nil"/>
                    <w:tr2bl w:val="nil"/>
                  </w:tcBorders>
                  <w:vAlign w:val="center"/>
                </w:tcPr>
                <w:p>
                  <w:pPr>
                    <w:widowControl/>
                    <w:jc w:val="center"/>
                    <w:textAlignment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一般农地区（水洼地）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867" w:type="pc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T</w:t>
                  </w:r>
                  <w:r>
                    <w:rPr>
                      <w:rFonts w:ascii="Times New Roman" w:hAnsi="Times New Roman"/>
                      <w:color w:val="000000" w:themeColor="text1"/>
                      <w:szCs w:val="21"/>
                      <w14:textFill>
                        <w14:solidFill>
                          <w14:schemeClr w14:val="tx1"/>
                        </w14:solidFill>
                      </w14:textFill>
                    </w:rPr>
                    <w:t>5风机</w:t>
                  </w:r>
                </w:p>
              </w:tc>
              <w:tc>
                <w:tcPr>
                  <w:tcW w:w="1532" w:type="pct"/>
                  <w:tcBorders>
                    <w:tl2br w:val="nil"/>
                    <w:tr2bl w:val="nil"/>
                  </w:tcBorders>
                </w:tcPr>
                <w:p>
                  <w:pPr>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0.0401</w:t>
                  </w:r>
                </w:p>
              </w:tc>
              <w:tc>
                <w:tcPr>
                  <w:tcW w:w="1901" w:type="pct"/>
                  <w:tcBorders>
                    <w:tl2br w:val="nil"/>
                    <w:tr2bl w:val="nil"/>
                  </w:tcBorders>
                  <w:vAlign w:val="center"/>
                </w:tcPr>
                <w:p>
                  <w:pPr>
                    <w:widowControl/>
                    <w:jc w:val="center"/>
                    <w:textAlignment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一般农地区（水洼地）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867" w:type="pc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T</w:t>
                  </w:r>
                  <w:r>
                    <w:rPr>
                      <w:rFonts w:ascii="Times New Roman" w:hAnsi="Times New Roman"/>
                      <w:color w:val="000000" w:themeColor="text1"/>
                      <w:szCs w:val="21"/>
                      <w14:textFill>
                        <w14:solidFill>
                          <w14:schemeClr w14:val="tx1"/>
                        </w14:solidFill>
                      </w14:textFill>
                    </w:rPr>
                    <w:t>6风机</w:t>
                  </w:r>
                </w:p>
              </w:tc>
              <w:tc>
                <w:tcPr>
                  <w:tcW w:w="1532" w:type="pct"/>
                  <w:tcBorders>
                    <w:tl2br w:val="nil"/>
                    <w:tr2bl w:val="nil"/>
                  </w:tcBorders>
                </w:tcPr>
                <w:p>
                  <w:pPr>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0.0401</w:t>
                  </w:r>
                </w:p>
              </w:tc>
              <w:tc>
                <w:tcPr>
                  <w:tcW w:w="1901" w:type="pct"/>
                  <w:tcBorders>
                    <w:tl2br w:val="nil"/>
                    <w:tr2bl w:val="nil"/>
                  </w:tcBorders>
                  <w:vAlign w:val="center"/>
                </w:tcPr>
                <w:p>
                  <w:pPr>
                    <w:widowControl/>
                    <w:jc w:val="center"/>
                    <w:textAlignment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一般农地区（水洼地）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99" w:type="pct"/>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867" w:type="pc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T</w:t>
                  </w:r>
                  <w:r>
                    <w:rPr>
                      <w:rFonts w:ascii="Times New Roman" w:hAnsi="Times New Roman"/>
                      <w:color w:val="000000" w:themeColor="text1"/>
                      <w:szCs w:val="21"/>
                      <w14:textFill>
                        <w14:solidFill>
                          <w14:schemeClr w14:val="tx1"/>
                        </w14:solidFill>
                      </w14:textFill>
                    </w:rPr>
                    <w:t>7风机</w:t>
                  </w:r>
                </w:p>
              </w:tc>
              <w:tc>
                <w:tcPr>
                  <w:tcW w:w="1532" w:type="pct"/>
                  <w:tcBorders>
                    <w:tl2br w:val="nil"/>
                    <w:tr2bl w:val="nil"/>
                  </w:tcBorders>
                </w:tcPr>
                <w:p>
                  <w:pPr>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0.0401</w:t>
                  </w:r>
                </w:p>
              </w:tc>
              <w:tc>
                <w:tcPr>
                  <w:tcW w:w="1901" w:type="pct"/>
                  <w:tcBorders>
                    <w:tl2br w:val="nil"/>
                    <w:tr2bl w:val="nil"/>
                  </w:tcBorders>
                  <w:vAlign w:val="center"/>
                </w:tcPr>
                <w:p>
                  <w:pPr>
                    <w:widowControl/>
                    <w:jc w:val="center"/>
                    <w:textAlignment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一般农地区（水洼地）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pct"/>
                  <w:vMerge w:val="continue"/>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p>
              </w:tc>
              <w:tc>
                <w:tcPr>
                  <w:tcW w:w="867" w:type="pct"/>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T</w:t>
                  </w:r>
                  <w:r>
                    <w:rPr>
                      <w:rFonts w:ascii="Times New Roman" w:hAnsi="Times New Roman"/>
                      <w:color w:val="000000" w:themeColor="text1"/>
                      <w:szCs w:val="21"/>
                      <w14:textFill>
                        <w14:solidFill>
                          <w14:schemeClr w14:val="tx1"/>
                        </w14:solidFill>
                      </w14:textFill>
                    </w:rPr>
                    <w:t>8风机</w:t>
                  </w:r>
                </w:p>
              </w:tc>
              <w:tc>
                <w:tcPr>
                  <w:tcW w:w="1532" w:type="pct"/>
                  <w:tcBorders>
                    <w:tl2br w:val="nil"/>
                    <w:tr2bl w:val="nil"/>
                  </w:tcBorders>
                </w:tcPr>
                <w:p>
                  <w:pPr>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0.0401</w:t>
                  </w:r>
                </w:p>
              </w:tc>
              <w:tc>
                <w:tcPr>
                  <w:tcW w:w="1901" w:type="pct"/>
                  <w:tcBorders>
                    <w:tl2br w:val="nil"/>
                    <w:tr2bl w:val="nil"/>
                  </w:tcBorders>
                  <w:vAlign w:val="center"/>
                </w:tcPr>
                <w:p>
                  <w:pPr>
                    <w:widowControl/>
                    <w:jc w:val="center"/>
                    <w:textAlignment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自然保留地（草地）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6" w:type="pct"/>
                  <w:gridSpan w:val="2"/>
                  <w:tcBorders>
                    <w:tl2br w:val="nil"/>
                    <w:tr2bl w:val="nil"/>
                  </w:tcBorders>
                  <w:vAlign w:val="center"/>
                </w:tcPr>
                <w:p>
                  <w:pPr>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35</w:t>
                  </w:r>
                  <w:r>
                    <w:rPr>
                      <w:rFonts w:ascii="Times New Roman" w:hAnsi="Times New Roman"/>
                      <w:color w:val="000000" w:themeColor="text1"/>
                      <w:szCs w:val="21"/>
                      <w14:textFill>
                        <w14:solidFill>
                          <w14:schemeClr w14:val="tx1"/>
                        </w14:solidFill>
                      </w14:textFill>
                    </w:rPr>
                    <w:t>kV</w:t>
                  </w:r>
                  <w:r>
                    <w:rPr>
                      <w:rFonts w:hint="eastAsia"/>
                      <w:color w:val="000000" w:themeColor="text1"/>
                      <w:szCs w:val="21"/>
                      <w:lang w:val="en-US" w:eastAsia="zh-CN"/>
                      <w14:textFill>
                        <w14:solidFill>
                          <w14:schemeClr w14:val="tx1"/>
                        </w14:solidFill>
                      </w14:textFill>
                    </w:rPr>
                    <w:t>开关站</w:t>
                  </w:r>
                </w:p>
              </w:tc>
              <w:tc>
                <w:tcPr>
                  <w:tcW w:w="1532" w:type="pct"/>
                  <w:tcBorders>
                    <w:tl2br w:val="nil"/>
                    <w:tr2bl w:val="nil"/>
                  </w:tcBorders>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0.1500</w:t>
                  </w:r>
                </w:p>
              </w:tc>
              <w:tc>
                <w:tcPr>
                  <w:tcW w:w="1901" w:type="pct"/>
                  <w:tcBorders>
                    <w:tl2br w:val="nil"/>
                    <w:tr2bl w:val="nil"/>
                  </w:tcBorders>
                  <w:vAlign w:val="center"/>
                </w:tcPr>
                <w:p>
                  <w:pPr>
                    <w:widowControl/>
                    <w:jc w:val="center"/>
                    <w:textAlignment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一般农地区（水洼地）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6" w:type="pct"/>
                  <w:gridSpan w:val="2"/>
                  <w:tcBorders>
                    <w:tl2br w:val="nil"/>
                    <w:tr2bl w:val="nil"/>
                  </w:tcBorders>
                  <w:vAlign w:val="center"/>
                </w:tcPr>
                <w:p>
                  <w:pPr>
                    <w:jc w:val="center"/>
                    <w:rPr>
                      <w:rFonts w:hint="eastAsia"/>
                      <w:color w:val="000000" w:themeColor="text1"/>
                      <w:szCs w:val="21"/>
                      <w:lang w:val="en-US" w:eastAsia="zh-CN"/>
                      <w14:textFill>
                        <w14:solidFill>
                          <w14:schemeClr w14:val="tx1"/>
                        </w14:solidFill>
                      </w14:textFill>
                    </w:rPr>
                  </w:pPr>
                  <w:r>
                    <w:rPr>
                      <w:rFonts w:ascii="Times New Roman" w:hAnsi="Times New Roman"/>
                      <w:color w:val="000000" w:themeColor="text1"/>
                      <w:szCs w:val="21"/>
                      <w14:textFill>
                        <w14:solidFill>
                          <w14:schemeClr w14:val="tx1"/>
                        </w14:solidFill>
                      </w14:textFill>
                    </w:rPr>
                    <w:t>架空线杆塔基础</w:t>
                  </w:r>
                </w:p>
              </w:tc>
              <w:tc>
                <w:tcPr>
                  <w:tcW w:w="1532" w:type="pct"/>
                  <w:tcBorders>
                    <w:tl2br w:val="nil"/>
                    <w:tr2bl w:val="nil"/>
                  </w:tcBorders>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0.2520</w:t>
                  </w:r>
                </w:p>
              </w:tc>
              <w:tc>
                <w:tcPr>
                  <w:tcW w:w="1901" w:type="pct"/>
                  <w:tcBorders>
                    <w:tl2br w:val="nil"/>
                    <w:tr2bl w:val="nil"/>
                  </w:tcBorders>
                  <w:vAlign w:val="center"/>
                </w:tcPr>
                <w:p>
                  <w:pPr>
                    <w:widowControl/>
                    <w:jc w:val="center"/>
                    <w:textAlignment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基本农田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6" w:type="pct"/>
                  <w:gridSpan w:val="2"/>
                  <w:tcBorders>
                    <w:tl2br w:val="nil"/>
                    <w:tr2bl w:val="nil"/>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总计</w:t>
                  </w:r>
                </w:p>
              </w:tc>
              <w:tc>
                <w:tcPr>
                  <w:tcW w:w="3433" w:type="pct"/>
                  <w:gridSpan w:val="2"/>
                  <w:tcBorders>
                    <w:tl2br w:val="nil"/>
                    <w:tr2bl w:val="nil"/>
                  </w:tcBorders>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0.7228</w:t>
                  </w:r>
                </w:p>
              </w:tc>
            </w:tr>
          </w:tbl>
          <w:p>
            <w:pPr>
              <w:spacing w:line="360" w:lineRule="auto"/>
              <w:ind w:firstLine="420"/>
              <w:rPr>
                <w:rFonts w:hint="default" w:ascii="Times New Roman" w:hAnsi="Times New Roman" w:eastAsia="宋体"/>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本项目永久占地</w:t>
            </w:r>
            <w:r>
              <w:rPr>
                <w:rFonts w:hint="eastAsia" w:ascii="Times New Roman" w:hAnsi="Times New Roman"/>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7228</w:t>
            </w:r>
            <w:r>
              <w:rPr>
                <w:rFonts w:ascii="Times New Roman" w:hAnsi="Times New Roman"/>
                <w:color w:val="000000" w:themeColor="text1"/>
                <w:sz w:val="24"/>
                <w14:textFill>
                  <w14:solidFill>
                    <w14:schemeClr w14:val="tx1"/>
                  </w14:solidFill>
                </w14:textFill>
              </w:rPr>
              <w:t>hm</w:t>
            </w:r>
            <w:r>
              <w:rPr>
                <w:rFonts w:ascii="Times New Roman" w:hAnsi="Times New Roman"/>
                <w:color w:val="000000" w:themeColor="text1"/>
                <w:sz w:val="24"/>
                <w:vertAlign w:val="super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，其中</w:t>
            </w:r>
            <w:r>
              <w:rPr>
                <w:rFonts w:hint="eastAsia"/>
                <w:color w:val="000000" w:themeColor="text1"/>
                <w:sz w:val="24"/>
                <w:lang w:val="en-US" w:eastAsia="zh-CN"/>
                <w14:textFill>
                  <w14:solidFill>
                    <w14:schemeClr w14:val="tx1"/>
                  </w14:solidFill>
                </w14:textFill>
              </w:rPr>
              <w:t>一般农地区0.4307</w:t>
            </w:r>
            <w:r>
              <w:rPr>
                <w:rFonts w:ascii="Times New Roman" w:hAnsi="Times New Roman"/>
                <w:color w:val="000000" w:themeColor="text1"/>
                <w:sz w:val="24"/>
                <w14:textFill>
                  <w14:solidFill>
                    <w14:schemeClr w14:val="tx1"/>
                  </w14:solidFill>
                </w14:textFill>
              </w:rPr>
              <w:t>hm</w:t>
            </w:r>
            <w:r>
              <w:rPr>
                <w:rFonts w:ascii="Times New Roman" w:hAnsi="Times New Roman"/>
                <w:color w:val="000000" w:themeColor="text1"/>
                <w:sz w:val="24"/>
                <w:vertAlign w:val="super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自然保留地0.0401</w:t>
            </w:r>
            <w:r>
              <w:rPr>
                <w:rFonts w:ascii="Times New Roman" w:hAnsi="Times New Roman"/>
                <w:color w:val="000000" w:themeColor="text1"/>
                <w:sz w:val="24"/>
                <w14:textFill>
                  <w14:solidFill>
                    <w14:schemeClr w14:val="tx1"/>
                  </w14:solidFill>
                </w14:textFill>
              </w:rPr>
              <w:t>hm</w:t>
            </w:r>
            <w:r>
              <w:rPr>
                <w:rFonts w:ascii="Times New Roman" w:hAnsi="Times New Roman"/>
                <w:color w:val="000000" w:themeColor="text1"/>
                <w:sz w:val="24"/>
                <w:vertAlign w:val="superscript"/>
                <w14:textFill>
                  <w14:solidFill>
                    <w14:schemeClr w14:val="tx1"/>
                  </w14:solidFill>
                </w14:textFill>
              </w:rPr>
              <w:t>2</w:t>
            </w:r>
            <w:r>
              <w:rPr>
                <w:rFonts w:hint="eastAsia"/>
                <w:color w:val="000000" w:themeColor="text1"/>
                <w:sz w:val="24"/>
                <w:vertAlign w:val="baseline"/>
                <w:lang w:eastAsia="zh-CN"/>
                <w14:textFill>
                  <w14:solidFill>
                    <w14:schemeClr w14:val="tx1"/>
                  </w14:solidFill>
                </w14:textFill>
              </w:rPr>
              <w:t>，</w:t>
            </w:r>
            <w:r>
              <w:rPr>
                <w:rFonts w:hint="eastAsia"/>
                <w:color w:val="000000" w:themeColor="text1"/>
                <w:sz w:val="24"/>
                <w:vertAlign w:val="baseline"/>
                <w:lang w:val="en-US" w:eastAsia="zh-CN"/>
                <w14:textFill>
                  <w14:solidFill>
                    <w14:schemeClr w14:val="tx1"/>
                  </w14:solidFill>
                </w14:textFill>
              </w:rPr>
              <w:t>基本农田0.2520</w:t>
            </w:r>
            <w:r>
              <w:rPr>
                <w:rFonts w:ascii="Times New Roman" w:hAnsi="Times New Roman"/>
                <w:color w:val="000000" w:themeColor="text1"/>
                <w:sz w:val="24"/>
                <w14:textFill>
                  <w14:solidFill>
                    <w14:schemeClr w14:val="tx1"/>
                  </w14:solidFill>
                </w14:textFill>
              </w:rPr>
              <w:t>hm</w:t>
            </w:r>
            <w:r>
              <w:rPr>
                <w:rFonts w:ascii="Times New Roman" w:hAnsi="Times New Roman"/>
                <w:color w:val="000000" w:themeColor="text1"/>
                <w:sz w:val="24"/>
                <w:vertAlign w:val="super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。本项目</w:t>
            </w:r>
            <w:r>
              <w:rPr>
                <w:rFonts w:hint="eastAsia"/>
                <w:color w:val="000000" w:themeColor="text1"/>
                <w:sz w:val="24"/>
                <w:lang w:val="en-US" w:eastAsia="zh-CN"/>
                <w14:textFill>
                  <w14:solidFill>
                    <w14:schemeClr w14:val="tx1"/>
                  </w14:solidFill>
                </w14:textFill>
              </w:rPr>
              <w:t>各风机点位及35kV开关站</w:t>
            </w:r>
            <w:r>
              <w:rPr>
                <w:rFonts w:ascii="Times New Roman" w:hAnsi="Times New Roman"/>
                <w:color w:val="000000" w:themeColor="text1"/>
                <w:sz w:val="24"/>
                <w14:textFill>
                  <w14:solidFill>
                    <w14:schemeClr w14:val="tx1"/>
                  </w14:solidFill>
                </w14:textFill>
              </w:rPr>
              <w:t>土地利用类型见附图4</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图中地块九为拟建35kV开关站用地</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w:t>
            </w:r>
          </w:p>
          <w:p>
            <w:pPr>
              <w:spacing w:line="360" w:lineRule="auto"/>
              <w:ind w:firstLine="420"/>
              <w:rPr>
                <w:rFonts w:hint="default" w:ascii="Times New Roman" w:hAnsi="Times New Roman" w:eastAsia="宋体"/>
                <w:color w:val="FF0000"/>
                <w:sz w:val="24"/>
                <w:lang w:val="en-US" w:eastAsia="zh-CN"/>
              </w:rPr>
            </w:pPr>
            <w:r>
              <w:rPr>
                <w:rFonts w:hint="eastAsia"/>
                <w:color w:val="FF0000"/>
                <w:sz w:val="24"/>
                <w:lang w:val="en-US" w:eastAsia="zh-CN"/>
              </w:rPr>
              <w:t>根据澄城县自然资源局《关于澄城县王庄镇20兆瓦分散式风电项目建设用地预审与选址意见书初审意见的报告》，本项目用地已经澄城县人民政府承诺纳入澄城县国土空间总体规划，落实建设用地规模，并确保拟用地用途与国土空间总体规划一致（见附件4）。</w:t>
            </w:r>
          </w:p>
          <w:p>
            <w:pPr>
              <w:spacing w:line="360" w:lineRule="auto"/>
              <w:ind w:firstLine="420"/>
              <w:rPr>
                <w:rFonts w:hint="default" w:ascii="Times New Roman" w:hAnsi="Times New Roman" w:eastAsia="宋体" w:cs="Times New Roman"/>
                <w:color w:val="FF0000"/>
                <w:sz w:val="24"/>
                <w:lang w:val="en-US" w:eastAsia="zh-CN"/>
              </w:rPr>
            </w:pPr>
            <w:r>
              <w:rPr>
                <w:rFonts w:hint="eastAsia" w:cs="Times New Roman"/>
                <w:color w:val="FF0000"/>
                <w:sz w:val="24"/>
                <w:lang w:val="en-US" w:eastAsia="zh-CN"/>
              </w:rPr>
              <w:t>根据陕西省人民政府办公厅《关于做好电网建设工程征地拆迁工作的有关问题的通知》（陕政办发[2007]92号），输电线路杆塔、拉线基础用地只占不征的，在有关各方积极协商并形成一致意见的基础上，依据杆塔、拉线基础保护范围按永久用地补偿标准进行补偿。本项目输电线路杆塔基础占地采取只占不征的方式，建设单位与有关各方进行协商，按照永久用地补偿标准对占用土地进行补偿。</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r>
              <w:rPr>
                <w:rFonts w:hint="eastAsia" w:ascii="Times New Roman" w:hAnsi="Times New Roman"/>
                <w:color w:val="000000" w:themeColor="text1"/>
                <w:sz w:val="24"/>
                <w14:textFill>
                  <w14:solidFill>
                    <w14:schemeClr w14:val="tx1"/>
                  </w14:solidFill>
                </w14:textFill>
              </w:rPr>
              <w:t>临时</w:t>
            </w:r>
            <w:r>
              <w:rPr>
                <w:rFonts w:ascii="Times New Roman" w:hAnsi="Times New Roman"/>
                <w:color w:val="000000" w:themeColor="text1"/>
                <w:sz w:val="24"/>
                <w14:textFill>
                  <w14:solidFill>
                    <w14:schemeClr w14:val="tx1"/>
                  </w14:solidFill>
                </w14:textFill>
              </w:rPr>
              <w:t>占地</w:t>
            </w:r>
          </w:p>
          <w:p>
            <w:pPr>
              <w:spacing w:line="360" w:lineRule="auto"/>
              <w:ind w:firstLine="480" w:firstLineChars="200"/>
              <w:jc w:val="left"/>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①道路临时占地</w:t>
            </w:r>
          </w:p>
          <w:p>
            <w:pPr>
              <w:spacing w:line="360" w:lineRule="auto"/>
              <w:ind w:firstLine="480" w:firstLineChars="200"/>
              <w:jc w:val="left"/>
              <w:rPr>
                <w:rFonts w:ascii="Times New Roman" w:hAnsi="Times New Roman" w:eastAsia="Times New Roman"/>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本项目场内道路走向及临时占地情况见表1-7。</w:t>
            </w:r>
          </w:p>
          <w:p>
            <w:pPr>
              <w:spacing w:line="240" w:lineRule="auto"/>
              <w:jc w:val="center"/>
              <w:rPr>
                <w:rFonts w:ascii="Times New Roman" w:hAnsi="Times New Roman" w:eastAsia="Times New Roman"/>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 xml:space="preserve">表1-7 </w:t>
            </w:r>
            <w:r>
              <w:rPr>
                <w:rFonts w:hint="eastAsia" w:eastAsia="宋体"/>
                <w:color w:val="000000" w:themeColor="text1"/>
                <w:sz w:val="24"/>
                <w:lang w:val="en-US" w:eastAsia="zh-CN"/>
                <w14:textFill>
                  <w14:solidFill>
                    <w14:schemeClr w14:val="tx1"/>
                  </w14:solidFill>
                </w14:textFill>
              </w:rPr>
              <w:t xml:space="preserve"> </w:t>
            </w:r>
            <w:r>
              <w:rPr>
                <w:rFonts w:ascii="Times New Roman" w:hAnsi="Times New Roman" w:eastAsia="Times New Roman"/>
                <w:color w:val="000000" w:themeColor="text1"/>
                <w:sz w:val="24"/>
                <w14:textFill>
                  <w14:solidFill>
                    <w14:schemeClr w14:val="tx1"/>
                  </w14:solidFill>
                </w14:textFill>
              </w:rPr>
              <w:t>本项目场内道路临时占地一览表</w:t>
            </w:r>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294"/>
              <w:gridCol w:w="1173"/>
              <w:gridCol w:w="1454"/>
              <w:gridCol w:w="1196"/>
              <w:gridCol w:w="15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08" w:type="pct"/>
                  <w:tcBorders>
                    <w:tl2br w:val="nil"/>
                    <w:tr2bl w:val="nil"/>
                  </w:tcBorders>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ascii="Times New Roman" w:hAnsi="Times New Roman" w:eastAsia="Times New Roman"/>
                      <w:color w:val="000000" w:themeColor="text1"/>
                      <w:szCs w:val="21"/>
                      <w14:textFill>
                        <w14:solidFill>
                          <w14:schemeClr w14:val="tx1"/>
                        </w14:solidFill>
                      </w14:textFill>
                    </w:rPr>
                    <w:t>风机机位</w:t>
                  </w:r>
                  <w:r>
                    <w:rPr>
                      <w:rFonts w:hint="eastAsia" w:eastAsia="宋体"/>
                      <w:color w:val="000000" w:themeColor="text1"/>
                      <w:szCs w:val="21"/>
                      <w:lang w:val="en-US"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开关站</w:t>
                  </w:r>
                </w:p>
              </w:tc>
              <w:tc>
                <w:tcPr>
                  <w:tcW w:w="792" w:type="pct"/>
                  <w:tcBorders>
                    <w:tl2br w:val="nil"/>
                    <w:tr2bl w:val="nil"/>
                  </w:tcBorders>
                  <w:vAlign w:val="center"/>
                </w:tcPr>
                <w:p>
                  <w:pPr>
                    <w:spacing w:line="240" w:lineRule="exact"/>
                    <w:jc w:val="center"/>
                    <w:rPr>
                      <w:rFonts w:ascii="Times New Roman" w:hAnsi="Times New Roman" w:eastAsia="Times New Roman"/>
                      <w:color w:val="000000" w:themeColor="text1"/>
                      <w:szCs w:val="21"/>
                      <w14:textFill>
                        <w14:solidFill>
                          <w14:schemeClr w14:val="tx1"/>
                        </w14:solidFill>
                      </w14:textFill>
                    </w:rPr>
                  </w:pPr>
                  <w:r>
                    <w:rPr>
                      <w:rFonts w:ascii="Times New Roman" w:hAnsi="Times New Roman" w:eastAsia="Times New Roman"/>
                      <w:color w:val="000000" w:themeColor="text1"/>
                      <w:szCs w:val="21"/>
                      <w14:textFill>
                        <w14:solidFill>
                          <w14:schemeClr w14:val="tx1"/>
                        </w14:solidFill>
                      </w14:textFill>
                    </w:rPr>
                    <w:t>道路总长（</w:t>
                  </w:r>
                  <w:r>
                    <w:rPr>
                      <w:rFonts w:hint="eastAsia" w:eastAsia="宋体"/>
                      <w:color w:val="000000" w:themeColor="text1"/>
                      <w:szCs w:val="21"/>
                      <w:lang w:val="en-US" w:eastAsia="zh-CN"/>
                      <w14:textFill>
                        <w14:solidFill>
                          <w14:schemeClr w14:val="tx1"/>
                        </w14:solidFill>
                      </w14:textFill>
                    </w:rPr>
                    <w:t>k</w:t>
                  </w:r>
                  <w:r>
                    <w:rPr>
                      <w:rFonts w:ascii="Times New Roman" w:hAnsi="Times New Roman" w:eastAsia="Times New Roman"/>
                      <w:color w:val="000000" w:themeColor="text1"/>
                      <w:szCs w:val="21"/>
                      <w14:textFill>
                        <w14:solidFill>
                          <w14:schemeClr w14:val="tx1"/>
                        </w14:solidFill>
                      </w14:textFill>
                    </w:rPr>
                    <w:t>m）</w:t>
                  </w:r>
                </w:p>
              </w:tc>
              <w:tc>
                <w:tcPr>
                  <w:tcW w:w="718" w:type="pct"/>
                  <w:tcBorders>
                    <w:tl2br w:val="nil"/>
                    <w:tr2bl w:val="nil"/>
                  </w:tcBorders>
                  <w:vAlign w:val="center"/>
                </w:tcPr>
                <w:p>
                  <w:pPr>
                    <w:spacing w:line="240" w:lineRule="exact"/>
                    <w:jc w:val="center"/>
                    <w:rPr>
                      <w:rFonts w:ascii="Times New Roman" w:hAnsi="Times New Roman" w:eastAsia="Times New Roman"/>
                      <w:color w:val="000000" w:themeColor="text1"/>
                      <w:szCs w:val="21"/>
                      <w14:textFill>
                        <w14:solidFill>
                          <w14:schemeClr w14:val="tx1"/>
                        </w14:solidFill>
                      </w14:textFill>
                    </w:rPr>
                  </w:pPr>
                  <w:r>
                    <w:rPr>
                      <w:rFonts w:ascii="Times New Roman" w:hAnsi="Times New Roman" w:eastAsia="Times New Roman"/>
                      <w:color w:val="000000" w:themeColor="text1"/>
                      <w:szCs w:val="21"/>
                      <w14:textFill>
                        <w14:solidFill>
                          <w14:schemeClr w14:val="tx1"/>
                        </w14:solidFill>
                      </w14:textFill>
                    </w:rPr>
                    <w:t>新建道路长度(</w:t>
                  </w:r>
                  <w:r>
                    <w:rPr>
                      <w:rFonts w:hint="eastAsia" w:eastAsia="宋体"/>
                      <w:color w:val="000000" w:themeColor="text1"/>
                      <w:szCs w:val="21"/>
                      <w:lang w:val="en-US" w:eastAsia="zh-CN"/>
                      <w14:textFill>
                        <w14:solidFill>
                          <w14:schemeClr w14:val="tx1"/>
                        </w14:solidFill>
                      </w14:textFill>
                    </w:rPr>
                    <w:t>k</w:t>
                  </w:r>
                  <w:r>
                    <w:rPr>
                      <w:rFonts w:ascii="Times New Roman" w:hAnsi="Times New Roman" w:eastAsia="Times New Roman"/>
                      <w:color w:val="000000" w:themeColor="text1"/>
                      <w:szCs w:val="21"/>
                      <w14:textFill>
                        <w14:solidFill>
                          <w14:schemeClr w14:val="tx1"/>
                        </w14:solidFill>
                      </w14:textFill>
                    </w:rPr>
                    <w:t>m)</w:t>
                  </w:r>
                </w:p>
              </w:tc>
              <w:tc>
                <w:tcPr>
                  <w:tcW w:w="890" w:type="pct"/>
                  <w:tcBorders>
                    <w:tl2br w:val="nil"/>
                    <w:tr2bl w:val="nil"/>
                  </w:tcBorders>
                  <w:vAlign w:val="center"/>
                </w:tcPr>
                <w:p>
                  <w:pPr>
                    <w:spacing w:line="240" w:lineRule="exact"/>
                    <w:jc w:val="center"/>
                    <w:rPr>
                      <w:rFonts w:ascii="Times New Roman" w:hAnsi="Times New Roman" w:eastAsia="Times New Roman"/>
                      <w:color w:val="000000" w:themeColor="text1"/>
                      <w:szCs w:val="21"/>
                      <w14:textFill>
                        <w14:solidFill>
                          <w14:schemeClr w14:val="tx1"/>
                        </w14:solidFill>
                      </w14:textFill>
                    </w:rPr>
                  </w:pPr>
                  <w:r>
                    <w:rPr>
                      <w:rFonts w:ascii="Times New Roman" w:hAnsi="Times New Roman" w:eastAsia="Times New Roman"/>
                      <w:color w:val="000000" w:themeColor="text1"/>
                      <w:szCs w:val="21"/>
                      <w14:textFill>
                        <w14:solidFill>
                          <w14:schemeClr w14:val="tx1"/>
                        </w14:solidFill>
                      </w14:textFill>
                    </w:rPr>
                    <w:t>新建道路占地面积(</w:t>
                  </w:r>
                  <w:r>
                    <w:rPr>
                      <w:rFonts w:hint="eastAsia" w:eastAsia="宋体"/>
                      <w:color w:val="000000" w:themeColor="text1"/>
                      <w:szCs w:val="21"/>
                      <w:lang w:val="en-US" w:eastAsia="zh-CN"/>
                      <w14:textFill>
                        <w14:solidFill>
                          <w14:schemeClr w14:val="tx1"/>
                        </w14:solidFill>
                      </w14:textFill>
                    </w:rPr>
                    <w:t>h</w:t>
                  </w:r>
                  <w:r>
                    <w:rPr>
                      <w:rFonts w:ascii="Times New Roman" w:hAnsi="Times New Roman" w:eastAsia="Times New Roman"/>
                      <w:color w:val="000000" w:themeColor="text1"/>
                      <w:szCs w:val="21"/>
                      <w14:textFill>
                        <w14:solidFill>
                          <w14:schemeClr w14:val="tx1"/>
                        </w14:solidFill>
                      </w14:textFill>
                    </w:rPr>
                    <w:t>m</w:t>
                  </w:r>
                  <w:r>
                    <w:rPr>
                      <w:rFonts w:ascii="Times New Roman" w:hAnsi="Times New Roman" w:eastAsia="Times New Roman"/>
                      <w:color w:val="000000" w:themeColor="text1"/>
                      <w:szCs w:val="21"/>
                      <w:vertAlign w:val="superscript"/>
                      <w14:textFill>
                        <w14:solidFill>
                          <w14:schemeClr w14:val="tx1"/>
                        </w14:solidFill>
                      </w14:textFill>
                    </w:rPr>
                    <w:t>2</w:t>
                  </w:r>
                  <w:r>
                    <w:rPr>
                      <w:rFonts w:ascii="Times New Roman" w:hAnsi="Times New Roman" w:eastAsia="Times New Roman"/>
                      <w:color w:val="000000" w:themeColor="text1"/>
                      <w:szCs w:val="21"/>
                      <w14:textFill>
                        <w14:solidFill>
                          <w14:schemeClr w14:val="tx1"/>
                        </w14:solidFill>
                      </w14:textFill>
                    </w:rPr>
                    <w:t>)</w:t>
                  </w:r>
                </w:p>
              </w:tc>
              <w:tc>
                <w:tcPr>
                  <w:tcW w:w="732" w:type="pct"/>
                  <w:tcBorders>
                    <w:tl2br w:val="nil"/>
                    <w:tr2bl w:val="nil"/>
                  </w:tcBorders>
                  <w:vAlign w:val="center"/>
                </w:tcPr>
                <w:p>
                  <w:pPr>
                    <w:spacing w:line="240" w:lineRule="exact"/>
                    <w:jc w:val="center"/>
                    <w:rPr>
                      <w:rFonts w:ascii="Times New Roman" w:hAnsi="Times New Roman" w:eastAsia="Times New Roman"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Times New Roman"/>
                      <w:color w:val="000000" w:themeColor="text1"/>
                      <w:szCs w:val="21"/>
                      <w14:textFill>
                        <w14:solidFill>
                          <w14:schemeClr w14:val="tx1"/>
                        </w14:solidFill>
                      </w14:textFill>
                    </w:rPr>
                    <w:t>改建道路长度(</w:t>
                  </w:r>
                  <w:r>
                    <w:rPr>
                      <w:rFonts w:hint="eastAsia" w:eastAsia="宋体"/>
                      <w:color w:val="000000" w:themeColor="text1"/>
                      <w:szCs w:val="21"/>
                      <w:lang w:val="en-US" w:eastAsia="zh-CN"/>
                      <w14:textFill>
                        <w14:solidFill>
                          <w14:schemeClr w14:val="tx1"/>
                        </w14:solidFill>
                      </w14:textFill>
                    </w:rPr>
                    <w:t>k</w:t>
                  </w:r>
                  <w:r>
                    <w:rPr>
                      <w:rFonts w:ascii="Times New Roman" w:hAnsi="Times New Roman" w:eastAsia="Times New Roman"/>
                      <w:color w:val="000000" w:themeColor="text1"/>
                      <w:szCs w:val="21"/>
                      <w14:textFill>
                        <w14:solidFill>
                          <w14:schemeClr w14:val="tx1"/>
                        </w14:solidFill>
                      </w14:textFill>
                    </w:rPr>
                    <w:t>m)</w:t>
                  </w:r>
                </w:p>
              </w:tc>
              <w:tc>
                <w:tcPr>
                  <w:tcW w:w="956" w:type="pct"/>
                  <w:tcBorders>
                    <w:tl2br w:val="nil"/>
                    <w:tr2bl w:val="nil"/>
                  </w:tcBorders>
                  <w:vAlign w:val="center"/>
                </w:tcPr>
                <w:p>
                  <w:pPr>
                    <w:spacing w:line="240" w:lineRule="exact"/>
                    <w:jc w:val="center"/>
                    <w:rPr>
                      <w:rFonts w:ascii="Times New Roman" w:hAnsi="Times New Roman" w:eastAsia="Times New Roman"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Times New Roman"/>
                      <w:color w:val="000000" w:themeColor="text1"/>
                      <w:szCs w:val="21"/>
                      <w14:textFill>
                        <w14:solidFill>
                          <w14:schemeClr w14:val="tx1"/>
                        </w14:solidFill>
                      </w14:textFill>
                    </w:rPr>
                    <w:t>改建道路占地面积(</w:t>
                  </w:r>
                  <w:r>
                    <w:rPr>
                      <w:rFonts w:hint="eastAsia" w:eastAsia="宋体"/>
                      <w:color w:val="000000" w:themeColor="text1"/>
                      <w:szCs w:val="21"/>
                      <w:lang w:val="en-US" w:eastAsia="zh-CN"/>
                      <w14:textFill>
                        <w14:solidFill>
                          <w14:schemeClr w14:val="tx1"/>
                        </w14:solidFill>
                      </w14:textFill>
                    </w:rPr>
                    <w:t>h</w:t>
                  </w:r>
                  <w:r>
                    <w:rPr>
                      <w:rFonts w:ascii="Times New Roman" w:hAnsi="Times New Roman" w:eastAsia="Times New Roman"/>
                      <w:color w:val="000000" w:themeColor="text1"/>
                      <w:szCs w:val="21"/>
                      <w14:textFill>
                        <w14:solidFill>
                          <w14:schemeClr w14:val="tx1"/>
                        </w14:solidFill>
                      </w14:textFill>
                    </w:rPr>
                    <w:t>m</w:t>
                  </w:r>
                  <w:r>
                    <w:rPr>
                      <w:rFonts w:ascii="Times New Roman" w:hAnsi="Times New Roman" w:eastAsia="Times New Roman"/>
                      <w:color w:val="000000" w:themeColor="text1"/>
                      <w:szCs w:val="21"/>
                      <w:vertAlign w:val="superscript"/>
                      <w14:textFill>
                        <w14:solidFill>
                          <w14:schemeClr w14:val="tx1"/>
                        </w14:solidFill>
                      </w14:textFill>
                    </w:rPr>
                    <w:t>2</w:t>
                  </w:r>
                  <w:r>
                    <w:rPr>
                      <w:rFonts w:ascii="Times New Roman" w:hAnsi="Times New Roman" w:eastAsia="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908" w:type="pct"/>
                  <w:tcBorders>
                    <w:tl2br w:val="nil"/>
                    <w:tr2bl w:val="nil"/>
                  </w:tcBorders>
                  <w:vAlign w:val="center"/>
                </w:tcPr>
                <w:p>
                  <w:pPr>
                    <w:widowControl/>
                    <w:jc w:val="center"/>
                    <w:textAlignment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T4、T5和T8</w:t>
                  </w:r>
                </w:p>
              </w:tc>
              <w:tc>
                <w:tcPr>
                  <w:tcW w:w="79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4.112</w:t>
                  </w:r>
                </w:p>
              </w:tc>
              <w:tc>
                <w:tcPr>
                  <w:tcW w:w="7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1.342</w:t>
                  </w:r>
                </w:p>
              </w:tc>
              <w:tc>
                <w:tcPr>
                  <w:tcW w:w="89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0.671</w:t>
                  </w:r>
                  <w:r>
                    <w:rPr>
                      <w:rFonts w:hint="eastAsia" w:ascii="Times New Roman" w:hAnsi="Times New Roman" w:cs="Times New Roman"/>
                      <w:i w:val="0"/>
                      <w:color w:val="000000" w:themeColor="text1"/>
                      <w:kern w:val="0"/>
                      <w:sz w:val="21"/>
                      <w:szCs w:val="21"/>
                      <w:u w:val="none"/>
                      <w:lang w:val="en-US" w:eastAsia="zh-CN" w:bidi="ar"/>
                      <w14:textFill>
                        <w14:solidFill>
                          <w14:schemeClr w14:val="tx1"/>
                        </w14:solidFill>
                      </w14:textFill>
                    </w:rPr>
                    <w:t>0</w:t>
                  </w:r>
                </w:p>
              </w:tc>
              <w:tc>
                <w:tcPr>
                  <w:tcW w:w="7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2.77</w:t>
                  </w:r>
                </w:p>
              </w:tc>
              <w:tc>
                <w:tcPr>
                  <w:tcW w:w="95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0.277</w:t>
                  </w:r>
                  <w:r>
                    <w:rPr>
                      <w:rFonts w:hint="eastAsia" w:ascii="Times New Roman" w:hAnsi="Times New Roman" w:cs="Times New Roman"/>
                      <w:i w:val="0"/>
                      <w:color w:val="000000" w:themeColor="text1"/>
                      <w:kern w:val="0"/>
                      <w:sz w:val="21"/>
                      <w:szCs w:val="21"/>
                      <w:u w:val="none"/>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8" w:type="pct"/>
                  <w:tcBorders>
                    <w:tl2br w:val="nil"/>
                    <w:tr2bl w:val="nil"/>
                  </w:tcBorders>
                  <w:vAlign w:val="center"/>
                </w:tcPr>
                <w:p>
                  <w:pPr>
                    <w:widowControl/>
                    <w:jc w:val="center"/>
                    <w:textAlignment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T1、T2和T6</w:t>
                  </w:r>
                </w:p>
              </w:tc>
              <w:tc>
                <w:tcPr>
                  <w:tcW w:w="79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0.396</w:t>
                  </w:r>
                </w:p>
              </w:tc>
              <w:tc>
                <w:tcPr>
                  <w:tcW w:w="7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0.396</w:t>
                  </w:r>
                </w:p>
              </w:tc>
              <w:tc>
                <w:tcPr>
                  <w:tcW w:w="89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0.198</w:t>
                  </w:r>
                  <w:r>
                    <w:rPr>
                      <w:rFonts w:hint="eastAsia" w:ascii="Times New Roman" w:hAnsi="Times New Roman" w:cs="Times New Roman"/>
                      <w:i w:val="0"/>
                      <w:color w:val="000000" w:themeColor="text1"/>
                      <w:kern w:val="0"/>
                      <w:sz w:val="21"/>
                      <w:szCs w:val="21"/>
                      <w:u w:val="none"/>
                      <w:lang w:val="en-US" w:eastAsia="zh-CN" w:bidi="ar"/>
                      <w14:textFill>
                        <w14:solidFill>
                          <w14:schemeClr w14:val="tx1"/>
                        </w14:solidFill>
                      </w14:textFill>
                    </w:rPr>
                    <w:t>0</w:t>
                  </w:r>
                </w:p>
              </w:tc>
              <w:tc>
                <w:tcPr>
                  <w:tcW w:w="7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w:t>
                  </w:r>
                </w:p>
              </w:tc>
              <w:tc>
                <w:tcPr>
                  <w:tcW w:w="95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8" w:type="pct"/>
                  <w:tcBorders>
                    <w:tl2br w:val="nil"/>
                    <w:tr2bl w:val="nil"/>
                  </w:tcBorders>
                  <w:vAlign w:val="center"/>
                </w:tcPr>
                <w:p>
                  <w:pPr>
                    <w:widowControl/>
                    <w:jc w:val="center"/>
                    <w:textAlignment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T3和开关站</w:t>
                  </w:r>
                </w:p>
              </w:tc>
              <w:tc>
                <w:tcPr>
                  <w:tcW w:w="79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0.414</w:t>
                  </w:r>
                </w:p>
              </w:tc>
              <w:tc>
                <w:tcPr>
                  <w:tcW w:w="7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0.414</w:t>
                  </w:r>
                </w:p>
              </w:tc>
              <w:tc>
                <w:tcPr>
                  <w:tcW w:w="89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0.207</w:t>
                  </w:r>
                  <w:r>
                    <w:rPr>
                      <w:rFonts w:hint="eastAsia" w:ascii="Times New Roman" w:hAnsi="Times New Roman" w:cs="Times New Roman"/>
                      <w:i w:val="0"/>
                      <w:color w:val="000000" w:themeColor="text1"/>
                      <w:kern w:val="0"/>
                      <w:sz w:val="21"/>
                      <w:szCs w:val="21"/>
                      <w:u w:val="none"/>
                      <w:lang w:val="en-US" w:eastAsia="zh-CN" w:bidi="ar"/>
                      <w14:textFill>
                        <w14:solidFill>
                          <w14:schemeClr w14:val="tx1"/>
                        </w14:solidFill>
                      </w14:textFill>
                    </w:rPr>
                    <w:t>0</w:t>
                  </w:r>
                </w:p>
              </w:tc>
              <w:tc>
                <w:tcPr>
                  <w:tcW w:w="7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w:t>
                  </w:r>
                </w:p>
              </w:tc>
              <w:tc>
                <w:tcPr>
                  <w:tcW w:w="95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908" w:type="pct"/>
                  <w:tcBorders>
                    <w:tl2br w:val="nil"/>
                    <w:tr2bl w:val="nil"/>
                  </w:tcBorders>
                  <w:vAlign w:val="center"/>
                </w:tcPr>
                <w:p>
                  <w:pPr>
                    <w:widowControl/>
                    <w:jc w:val="center"/>
                    <w:textAlignment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T7</w:t>
                  </w:r>
                </w:p>
              </w:tc>
              <w:tc>
                <w:tcPr>
                  <w:tcW w:w="79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0.499</w:t>
                  </w:r>
                </w:p>
              </w:tc>
              <w:tc>
                <w:tcPr>
                  <w:tcW w:w="7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0.499</w:t>
                  </w:r>
                </w:p>
              </w:tc>
              <w:tc>
                <w:tcPr>
                  <w:tcW w:w="89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0.2495</w:t>
                  </w:r>
                </w:p>
              </w:tc>
              <w:tc>
                <w:tcPr>
                  <w:tcW w:w="7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w:t>
                  </w:r>
                </w:p>
              </w:tc>
              <w:tc>
                <w:tcPr>
                  <w:tcW w:w="95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8" w:type="pct"/>
                  <w:tcBorders>
                    <w:tl2br w:val="nil"/>
                    <w:tr2bl w:val="nil"/>
                  </w:tcBorders>
                  <w:vAlign w:val="center"/>
                </w:tcPr>
                <w:p>
                  <w:pPr>
                    <w:widowControl/>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合计</w:t>
                  </w:r>
                </w:p>
              </w:tc>
              <w:tc>
                <w:tcPr>
                  <w:tcW w:w="79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0"/>
                      <w:sz w:val="21"/>
                      <w:szCs w:val="21"/>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5.421</w:t>
                  </w:r>
                </w:p>
              </w:tc>
              <w:tc>
                <w:tcPr>
                  <w:tcW w:w="71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0"/>
                      <w:sz w:val="21"/>
                      <w:szCs w:val="21"/>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2.651</w:t>
                  </w:r>
                </w:p>
              </w:tc>
              <w:tc>
                <w:tcPr>
                  <w:tcW w:w="89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0"/>
                      <w:sz w:val="21"/>
                      <w:szCs w:val="21"/>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1.3255</w:t>
                  </w:r>
                </w:p>
              </w:tc>
              <w:tc>
                <w:tcPr>
                  <w:tcW w:w="73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0"/>
                      <w:sz w:val="21"/>
                      <w:szCs w:val="21"/>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2.77</w:t>
                  </w:r>
                </w:p>
              </w:tc>
              <w:tc>
                <w:tcPr>
                  <w:tcW w:w="95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0"/>
                      <w:sz w:val="21"/>
                      <w:szCs w:val="21"/>
                      <w:lang w:val="en-US"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0.277</w:t>
                  </w:r>
                  <w:r>
                    <w:rPr>
                      <w:rFonts w:hint="eastAsia" w:ascii="Times New Roman" w:hAnsi="Times New Roman" w:cs="Times New Roman"/>
                      <w:i w:val="0"/>
                      <w:color w:val="000000" w:themeColor="text1"/>
                      <w:kern w:val="0"/>
                      <w:sz w:val="21"/>
                      <w:szCs w:val="21"/>
                      <w:u w:val="none"/>
                      <w:lang w:val="en-US" w:eastAsia="zh-CN" w:bidi="ar"/>
                      <w14:textFill>
                        <w14:solidFill>
                          <w14:schemeClr w14:val="tx1"/>
                        </w14:solidFill>
                      </w14:textFill>
                    </w:rPr>
                    <w:t>0</w:t>
                  </w:r>
                </w:p>
              </w:tc>
            </w:tr>
          </w:tbl>
          <w:p>
            <w:pPr>
              <w:spacing w:line="360" w:lineRule="auto"/>
              <w:ind w:firstLine="420"/>
              <w:rPr>
                <w:rFonts w:hint="eastAsia" w:ascii="Times New Roman" w:hAnsi="Times New Roman" w:eastAsia="宋体"/>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根据上表，本项目场内</w:t>
            </w:r>
            <w:r>
              <w:rPr>
                <w:rFonts w:hint="eastAsia"/>
                <w:color w:val="000000" w:themeColor="text1"/>
                <w:sz w:val="24"/>
                <w:lang w:val="en-US" w:eastAsia="zh-CN"/>
                <w14:textFill>
                  <w14:solidFill>
                    <w14:schemeClr w14:val="tx1"/>
                  </w14:solidFill>
                </w14:textFill>
              </w:rPr>
              <w:t>新建</w:t>
            </w:r>
            <w:r>
              <w:rPr>
                <w:rFonts w:ascii="Times New Roman" w:hAnsi="Times New Roman"/>
                <w:color w:val="000000" w:themeColor="text1"/>
                <w:sz w:val="24"/>
                <w14:textFill>
                  <w14:solidFill>
                    <w14:schemeClr w14:val="tx1"/>
                  </w14:solidFill>
                </w14:textFill>
              </w:rPr>
              <w:t>道路总长度约</w:t>
            </w:r>
            <w:r>
              <w:rPr>
                <w:rFonts w:hint="eastAsia"/>
                <w:color w:val="000000" w:themeColor="text1"/>
                <w:sz w:val="24"/>
                <w:lang w:val="en-US" w:eastAsia="zh-CN"/>
                <w14:textFill>
                  <w14:solidFill>
                    <w14:schemeClr w14:val="tx1"/>
                  </w14:solidFill>
                </w14:textFill>
              </w:rPr>
              <w:t>2.651</w:t>
            </w:r>
            <w:r>
              <w:rPr>
                <w:rFonts w:ascii="Times New Roman" w:hAnsi="Times New Roman"/>
                <w:color w:val="000000" w:themeColor="text1"/>
                <w:sz w:val="24"/>
                <w14:textFill>
                  <w14:solidFill>
                    <w14:schemeClr w14:val="tx1"/>
                  </w14:solidFill>
                </w14:textFill>
              </w:rPr>
              <w:t>km，</w:t>
            </w:r>
            <w:r>
              <w:rPr>
                <w:rFonts w:hint="eastAsia"/>
                <w:color w:val="000000" w:themeColor="text1"/>
                <w:sz w:val="24"/>
                <w:lang w:val="en-US" w:eastAsia="zh-CN"/>
                <w14:textFill>
                  <w14:solidFill>
                    <w14:schemeClr w14:val="tx1"/>
                  </w14:solidFill>
                </w14:textFill>
              </w:rPr>
              <w:t>改建</w:t>
            </w:r>
            <w:r>
              <w:rPr>
                <w:rFonts w:ascii="Times New Roman" w:hAnsi="Times New Roman"/>
                <w:color w:val="000000" w:themeColor="text1"/>
                <w:sz w:val="24"/>
                <w14:textFill>
                  <w14:solidFill>
                    <w14:schemeClr w14:val="tx1"/>
                  </w14:solidFill>
                </w14:textFill>
              </w:rPr>
              <w:t>道路总长度约</w:t>
            </w:r>
            <w:r>
              <w:rPr>
                <w:rFonts w:hint="eastAsia"/>
                <w:color w:val="000000" w:themeColor="text1"/>
                <w:sz w:val="24"/>
                <w:lang w:val="en-US" w:eastAsia="zh-CN"/>
                <w14:textFill>
                  <w14:solidFill>
                    <w14:schemeClr w14:val="tx1"/>
                  </w14:solidFill>
                </w14:textFill>
              </w:rPr>
              <w:t>2.77</w:t>
            </w:r>
            <w:r>
              <w:rPr>
                <w:rFonts w:ascii="Times New Roman" w:hAnsi="Times New Roman"/>
                <w:color w:val="000000" w:themeColor="text1"/>
                <w:sz w:val="24"/>
                <w14:textFill>
                  <w14:solidFill>
                    <w14:schemeClr w14:val="tx1"/>
                  </w14:solidFill>
                </w14:textFill>
              </w:rPr>
              <w:t>km</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道路路基宽</w:t>
            </w:r>
            <w:r>
              <w:rPr>
                <w:rFonts w:hint="eastAsia"/>
                <w:color w:val="000000" w:themeColor="text1"/>
                <w:sz w:val="24"/>
                <w:lang w:val="en-US" w:eastAsia="zh-CN"/>
                <w14:textFill>
                  <w14:solidFill>
                    <w14:schemeClr w14:val="tx1"/>
                  </w14:solidFill>
                </w14:textFill>
              </w:rPr>
              <w:t>5.0</w:t>
            </w:r>
            <w:r>
              <w:rPr>
                <w:rFonts w:ascii="Times New Roman" w:hAnsi="Times New Roman"/>
                <w:color w:val="000000" w:themeColor="text1"/>
                <w:sz w:val="24"/>
                <w14:textFill>
                  <w14:solidFill>
                    <w14:schemeClr w14:val="tx1"/>
                  </w14:solidFill>
                </w14:textFill>
              </w:rPr>
              <w:t>m，路面宽4.5m</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新建道路临时占地</w:t>
            </w:r>
            <w:r>
              <w:rPr>
                <w:rFonts w:hint="eastAsia"/>
                <w:color w:val="000000" w:themeColor="text1"/>
                <w:sz w:val="24"/>
                <w:lang w:val="en-US" w:eastAsia="zh-CN"/>
                <w14:textFill>
                  <w14:solidFill>
                    <w14:schemeClr w14:val="tx1"/>
                  </w14:solidFill>
                </w14:textFill>
              </w:rPr>
              <w:t>为1.3255</w:t>
            </w:r>
            <w:r>
              <w:rPr>
                <w:rFonts w:ascii="Times New Roman" w:hAnsi="Times New Roman"/>
                <w:color w:val="000000" w:themeColor="text1"/>
                <w:sz w:val="24"/>
                <w14:textFill>
                  <w14:solidFill>
                    <w14:schemeClr w14:val="tx1"/>
                  </w14:solidFill>
                </w14:textFill>
              </w:rPr>
              <w:t>hm</w:t>
            </w:r>
            <w:r>
              <w:rPr>
                <w:rFonts w:ascii="Times New Roman" w:hAnsi="Times New Roman"/>
                <w:color w:val="000000" w:themeColor="text1"/>
                <w:sz w:val="24"/>
                <w:vertAlign w:val="superscript"/>
                <w14:textFill>
                  <w14:solidFill>
                    <w14:schemeClr w14:val="tx1"/>
                  </w14:solidFill>
                </w14:textFill>
              </w:rPr>
              <w:t>2</w:t>
            </w:r>
            <w:r>
              <w:rPr>
                <w:rFonts w:hint="eastAsia"/>
                <w:color w:val="000000" w:themeColor="text1"/>
                <w:sz w:val="24"/>
                <w:vertAlign w:val="baseline"/>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改建</w:t>
            </w:r>
            <w:r>
              <w:rPr>
                <w:rFonts w:ascii="Times New Roman" w:hAnsi="Times New Roman"/>
                <w:color w:val="000000" w:themeColor="text1"/>
                <w:sz w:val="24"/>
                <w14:textFill>
                  <w14:solidFill>
                    <w14:schemeClr w14:val="tx1"/>
                  </w14:solidFill>
                </w14:textFill>
              </w:rPr>
              <w:t>道路临时占地</w:t>
            </w:r>
            <w:r>
              <w:rPr>
                <w:rFonts w:hint="eastAsia"/>
                <w:color w:val="000000" w:themeColor="text1"/>
                <w:sz w:val="24"/>
                <w:lang w:val="en-US" w:eastAsia="zh-CN"/>
                <w14:textFill>
                  <w14:solidFill>
                    <w14:schemeClr w14:val="tx1"/>
                  </w14:solidFill>
                </w14:textFill>
              </w:rPr>
              <w:t>为0.2770</w:t>
            </w:r>
            <w:r>
              <w:rPr>
                <w:rFonts w:ascii="Times New Roman" w:hAnsi="Times New Roman"/>
                <w:color w:val="000000" w:themeColor="text1"/>
                <w:sz w:val="24"/>
                <w14:textFill>
                  <w14:solidFill>
                    <w14:schemeClr w14:val="tx1"/>
                  </w14:solidFill>
                </w14:textFill>
              </w:rPr>
              <w:t>hm</w:t>
            </w:r>
            <w:r>
              <w:rPr>
                <w:rFonts w:ascii="Times New Roman" w:hAnsi="Times New Roman"/>
                <w:color w:val="000000" w:themeColor="text1"/>
                <w:sz w:val="24"/>
                <w:vertAlign w:val="superscript"/>
                <w14:textFill>
                  <w14:solidFill>
                    <w14:schemeClr w14:val="tx1"/>
                  </w14:solidFill>
                </w14:textFill>
              </w:rPr>
              <w:t>2</w:t>
            </w:r>
            <w:r>
              <w:rPr>
                <w:rFonts w:hint="eastAsia"/>
                <w:color w:val="000000" w:themeColor="text1"/>
                <w:sz w:val="24"/>
                <w:vertAlign w:val="baseline"/>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总道路临时占地为</w:t>
            </w:r>
            <w:bookmarkStart w:id="11" w:name="_Hlk58331235"/>
            <w:r>
              <w:rPr>
                <w:rFonts w:hint="eastAsia"/>
                <w:color w:val="000000" w:themeColor="text1"/>
                <w:sz w:val="24"/>
                <w:lang w:val="en-US" w:eastAsia="zh-CN"/>
                <w14:textFill>
                  <w14:solidFill>
                    <w14:schemeClr w14:val="tx1"/>
                  </w14:solidFill>
                </w14:textFill>
              </w:rPr>
              <w:t>1.6025</w:t>
            </w:r>
            <w:r>
              <w:rPr>
                <w:rFonts w:ascii="Times New Roman" w:hAnsi="Times New Roman"/>
                <w:color w:val="000000" w:themeColor="text1"/>
                <w:sz w:val="24"/>
                <w14:textFill>
                  <w14:solidFill>
                    <w14:schemeClr w14:val="tx1"/>
                  </w14:solidFill>
                </w14:textFill>
              </w:rPr>
              <w:t>hm</w:t>
            </w:r>
            <w:r>
              <w:rPr>
                <w:rFonts w:ascii="Times New Roman" w:hAnsi="Times New Roman"/>
                <w:color w:val="000000" w:themeColor="text1"/>
                <w:sz w:val="24"/>
                <w:vertAlign w:val="superscript"/>
                <w14:textFill>
                  <w14:solidFill>
                    <w14:schemeClr w14:val="tx1"/>
                  </w14:solidFill>
                </w14:textFill>
              </w:rPr>
              <w:t>2</w:t>
            </w:r>
            <w:bookmarkEnd w:id="11"/>
            <w:r>
              <w:rPr>
                <w:rFonts w:ascii="Times New Roman" w:hAnsi="Times New Roman"/>
                <w:color w:val="000000" w:themeColor="text1"/>
                <w:sz w:val="24"/>
                <w14:textFill>
                  <w14:solidFill>
                    <w14:schemeClr w14:val="tx1"/>
                  </w14:solidFill>
                </w14:textFill>
              </w:rPr>
              <w:t>，占地性质为耕地</w:t>
            </w:r>
            <w:bookmarkStart w:id="12" w:name="_Hlk58332121"/>
            <w:r>
              <w:rPr>
                <w:rFonts w:ascii="Times New Roman" w:hAnsi="Times New Roman"/>
                <w:color w:val="000000" w:themeColor="text1"/>
                <w:sz w:val="24"/>
                <w14:textFill>
                  <w14:solidFill>
                    <w14:schemeClr w14:val="tx1"/>
                  </w14:solidFill>
                </w14:textFill>
              </w:rPr>
              <w:t>（属于基本农田）</w:t>
            </w:r>
            <w:bookmarkEnd w:id="12"/>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本项目</w:t>
            </w:r>
            <w:r>
              <w:rPr>
                <w:rFonts w:ascii="Times New Roman" w:hAnsi="Times New Roman"/>
                <w:color w:val="000000" w:themeColor="text1"/>
                <w:sz w:val="24"/>
                <w14:textFill>
                  <w14:solidFill>
                    <w14:schemeClr w14:val="tx1"/>
                  </w14:solidFill>
                </w14:textFill>
              </w:rPr>
              <w:t>场内道路走向和临时占地情况见附图5</w:t>
            </w:r>
            <w:r>
              <w:rPr>
                <w:rFonts w:hint="eastAsia"/>
                <w:color w:val="000000" w:themeColor="text1"/>
                <w:sz w:val="24"/>
                <w:lang w:eastAsia="zh-CN"/>
                <w14:textFill>
                  <w14:solidFill>
                    <w14:schemeClr w14:val="tx1"/>
                  </w14:solidFill>
                </w14:textFill>
              </w:rPr>
              <w:t>。</w:t>
            </w:r>
          </w:p>
          <w:p>
            <w:pPr>
              <w:spacing w:line="360" w:lineRule="auto"/>
              <w:ind w:firstLine="420"/>
              <w:rPr>
                <w:rFonts w:hint="default" w:ascii="Times New Roman" w:hAnsi="Times New Roman"/>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②</w:t>
            </w:r>
            <w:r>
              <w:rPr>
                <w:rFonts w:hint="eastAsia"/>
                <w:color w:val="000000" w:themeColor="text1"/>
                <w:sz w:val="24"/>
                <w:lang w:val="en-US" w:eastAsia="zh-CN"/>
                <w14:textFill>
                  <w14:solidFill>
                    <w14:schemeClr w14:val="tx1"/>
                  </w14:solidFill>
                </w14:textFill>
              </w:rPr>
              <w:t>组装及</w:t>
            </w:r>
            <w:r>
              <w:rPr>
                <w:rFonts w:hint="eastAsia" w:ascii="Times New Roman" w:hAnsi="Times New Roman"/>
                <w:color w:val="000000" w:themeColor="text1"/>
                <w:sz w:val="24"/>
                <w:lang w:val="en-US" w:eastAsia="zh-CN"/>
                <w14:textFill>
                  <w14:solidFill>
                    <w14:schemeClr w14:val="tx1"/>
                  </w14:solidFill>
                </w14:textFill>
              </w:rPr>
              <w:t>吊装平台临时占地</w:t>
            </w:r>
          </w:p>
          <w:p>
            <w:pPr>
              <w:spacing w:line="360" w:lineRule="auto"/>
              <w:ind w:firstLine="420"/>
              <w:rPr>
                <w:rFonts w:hint="default" w:ascii="Times New Roman" w:hAnsi="Times New Roman"/>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本项目</w:t>
            </w:r>
            <w:r>
              <w:rPr>
                <w:rFonts w:ascii="Times New Roman" w:hAnsi="Times New Roman"/>
                <w:color w:val="000000" w:themeColor="text1"/>
                <w:sz w:val="24"/>
                <w14:textFill>
                  <w14:solidFill>
                    <w14:schemeClr w14:val="tx1"/>
                  </w14:solidFill>
                </w14:textFill>
              </w:rPr>
              <w:t>风机设备按施工计划进场后直接放在</w:t>
            </w:r>
            <w:r>
              <w:rPr>
                <w:rFonts w:hint="eastAsia"/>
                <w:color w:val="000000" w:themeColor="text1"/>
                <w:sz w:val="24"/>
                <w:lang w:val="en-US" w:eastAsia="zh-CN"/>
                <w14:textFill>
                  <w14:solidFill>
                    <w14:schemeClr w14:val="tx1"/>
                  </w14:solidFill>
                </w14:textFill>
              </w:rPr>
              <w:t>吊装平台</w:t>
            </w:r>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进行</w:t>
            </w:r>
            <w:r>
              <w:rPr>
                <w:rFonts w:ascii="Times New Roman" w:hAnsi="Times New Roman"/>
                <w:color w:val="000000" w:themeColor="text1"/>
                <w:sz w:val="24"/>
                <w14:textFill>
                  <w14:solidFill>
                    <w14:schemeClr w14:val="tx1"/>
                  </w14:solidFill>
                </w14:textFill>
              </w:rPr>
              <w:t>组装</w:t>
            </w:r>
            <w:r>
              <w:rPr>
                <w:rFonts w:hint="eastAsia"/>
                <w:color w:val="000000" w:themeColor="text1"/>
                <w:sz w:val="24"/>
                <w:lang w:val="en-US" w:eastAsia="zh-CN"/>
                <w14:textFill>
                  <w14:solidFill>
                    <w14:schemeClr w14:val="tx1"/>
                  </w14:solidFill>
                </w14:textFill>
              </w:rPr>
              <w:t>和</w:t>
            </w:r>
            <w:r>
              <w:rPr>
                <w:rFonts w:ascii="Times New Roman" w:hAnsi="Times New Roman"/>
                <w:color w:val="000000" w:themeColor="text1"/>
                <w:sz w:val="24"/>
                <w14:textFill>
                  <w14:solidFill>
                    <w14:schemeClr w14:val="tx1"/>
                  </w14:solidFill>
                </w14:textFill>
              </w:rPr>
              <w:t>吊装</w:t>
            </w:r>
            <w:r>
              <w:rPr>
                <w:rFonts w:hint="eastAsia"/>
                <w:color w:val="000000" w:themeColor="text1"/>
                <w:sz w:val="24"/>
                <w:lang w:val="en-US" w:eastAsia="zh-CN"/>
                <w14:textFill>
                  <w14:solidFill>
                    <w14:schemeClr w14:val="tx1"/>
                  </w14:solidFill>
                </w14:textFill>
              </w:rPr>
              <w:t>工序</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共设置</w:t>
            </w:r>
            <w:r>
              <w:rPr>
                <w:rFonts w:hint="eastAsia"/>
                <w:color w:val="000000" w:themeColor="text1"/>
                <w:sz w:val="24"/>
                <w:lang w:val="en-US" w:eastAsia="zh-CN"/>
                <w14:textFill>
                  <w14:solidFill>
                    <w14:schemeClr w14:val="tx1"/>
                  </w14:solidFill>
                </w14:textFill>
              </w:rPr>
              <w:t>8</w:t>
            </w:r>
            <w:r>
              <w:rPr>
                <w:rFonts w:hint="eastAsia" w:ascii="Times New Roman" w:hAnsi="Times New Roman"/>
                <w:color w:val="000000" w:themeColor="text1"/>
                <w:sz w:val="24"/>
                <w:lang w:val="en-US" w:eastAsia="zh-CN"/>
                <w14:textFill>
                  <w14:solidFill>
                    <w14:schemeClr w14:val="tx1"/>
                  </w14:solidFill>
                </w14:textFill>
              </w:rPr>
              <w:t>个吊装平台，占地面积为</w:t>
            </w:r>
            <w:r>
              <w:rPr>
                <w:rFonts w:hint="eastAsia"/>
                <w:color w:val="000000" w:themeColor="text1"/>
                <w:sz w:val="24"/>
                <w:lang w:val="en-US" w:eastAsia="zh-CN"/>
                <w14:textFill>
                  <w14:solidFill>
                    <w14:schemeClr w14:val="tx1"/>
                  </w14:solidFill>
                </w14:textFill>
              </w:rPr>
              <w:t>1.600</w:t>
            </w:r>
            <w:r>
              <w:rPr>
                <w:rFonts w:ascii="Times New Roman" w:hAnsi="Times New Roman"/>
                <w:color w:val="000000" w:themeColor="text1"/>
                <w:sz w:val="24"/>
                <w14:textFill>
                  <w14:solidFill>
                    <w14:schemeClr w14:val="tx1"/>
                  </w14:solidFill>
                </w14:textFill>
              </w:rPr>
              <w:t>hm</w:t>
            </w:r>
            <w:r>
              <w:rPr>
                <w:rFonts w:ascii="Times New Roman" w:hAnsi="Times New Roman"/>
                <w:color w:val="000000" w:themeColor="text1"/>
                <w:sz w:val="24"/>
                <w:vertAlign w:val="superscript"/>
                <w14:textFill>
                  <w14:solidFill>
                    <w14:schemeClr w14:val="tx1"/>
                  </w14:solidFill>
                </w14:textFill>
              </w:rPr>
              <w:t>2</w:t>
            </w:r>
            <w:r>
              <w:rPr>
                <w:rFonts w:hint="eastAsia" w:ascii="Times New Roman" w:hAnsi="Times New Roman"/>
                <w:color w:val="000000" w:themeColor="text1"/>
                <w:sz w:val="24"/>
                <w:lang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占地性质为耕地（属于基本农田）。</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本项目总临时占地面积为</w:t>
            </w:r>
            <w:r>
              <w:rPr>
                <w:rFonts w:hint="eastAsia"/>
                <w:color w:val="FF0000"/>
                <w:sz w:val="24"/>
                <w:szCs w:val="24"/>
                <w:lang w:val="en-US" w:eastAsia="zh-CN"/>
              </w:rPr>
              <w:t>3.2025</w:t>
            </w:r>
            <w:r>
              <w:rPr>
                <w:rFonts w:ascii="Times New Roman" w:hAnsi="Times New Roman"/>
                <w:color w:val="000000" w:themeColor="text1"/>
                <w:sz w:val="24"/>
                <w14:textFill>
                  <w14:solidFill>
                    <w14:schemeClr w14:val="tx1"/>
                  </w14:solidFill>
                </w14:textFill>
              </w:rPr>
              <w:t>hm</w:t>
            </w:r>
            <w:r>
              <w:rPr>
                <w:rFonts w:ascii="Times New Roman" w:hAnsi="Times New Roman"/>
                <w:color w:val="000000" w:themeColor="text1"/>
                <w:sz w:val="24"/>
                <w:vertAlign w:val="superscript"/>
                <w14:textFill>
                  <w14:solidFill>
                    <w14:schemeClr w14:val="tx1"/>
                  </w14:solidFill>
                </w14:textFill>
              </w:rPr>
              <w:t>2</w:t>
            </w:r>
            <w:r>
              <w:rPr>
                <w:rFonts w:hint="eastAsia" w:ascii="Times New Roman" w:hAnsi="Times New Roman"/>
                <w:color w:val="000000" w:themeColor="text1"/>
                <w:sz w:val="24"/>
                <w:lang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占地类型为耕地（属于基本农田），现建设单位正在办理用地手续。</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）总工程占地</w:t>
            </w:r>
          </w:p>
          <w:p>
            <w:pPr>
              <w:spacing w:line="360" w:lineRule="auto"/>
              <w:ind w:firstLine="420"/>
              <w:rPr>
                <w:rFonts w:ascii="Times New Roman" w:hAnsi="Times New Roman"/>
                <w:color w:val="FF0000"/>
                <w:sz w:val="24"/>
              </w:rPr>
            </w:pPr>
            <w:r>
              <w:rPr>
                <w:rFonts w:ascii="Times New Roman" w:hAnsi="Times New Roman"/>
                <w:color w:val="FF0000"/>
                <w:sz w:val="24"/>
              </w:rPr>
              <w:t>本项目总占地</w:t>
            </w:r>
            <w:r>
              <w:rPr>
                <w:rFonts w:hint="eastAsia"/>
                <w:color w:val="FF0000"/>
                <w:sz w:val="24"/>
                <w:lang w:val="en-US" w:eastAsia="zh-CN"/>
              </w:rPr>
              <w:t>3.9253</w:t>
            </w:r>
            <w:r>
              <w:rPr>
                <w:rFonts w:ascii="Times New Roman" w:hAnsi="Times New Roman"/>
                <w:color w:val="FF0000"/>
                <w:sz w:val="24"/>
                <w:szCs w:val="24"/>
              </w:rPr>
              <w:t>hm</w:t>
            </w:r>
            <w:r>
              <w:rPr>
                <w:rFonts w:ascii="Times New Roman" w:hAnsi="Times New Roman"/>
                <w:color w:val="FF0000"/>
                <w:sz w:val="24"/>
                <w:szCs w:val="24"/>
                <w:vertAlign w:val="superscript"/>
              </w:rPr>
              <w:t>2</w:t>
            </w:r>
            <w:r>
              <w:rPr>
                <w:rFonts w:ascii="Times New Roman" w:hAnsi="Times New Roman"/>
                <w:color w:val="FF0000"/>
                <w:sz w:val="24"/>
                <w:szCs w:val="24"/>
              </w:rPr>
              <w:t>，其中</w:t>
            </w:r>
            <w:r>
              <w:rPr>
                <w:rFonts w:ascii="Times New Roman" w:hAnsi="Times New Roman"/>
                <w:color w:val="FF0000"/>
                <w:sz w:val="24"/>
              </w:rPr>
              <w:t>永久性占地</w:t>
            </w:r>
            <w:r>
              <w:rPr>
                <w:rFonts w:hint="eastAsia" w:ascii="Times New Roman" w:hAnsi="Times New Roman"/>
                <w:color w:val="FF0000"/>
                <w:sz w:val="24"/>
              </w:rPr>
              <w:t>0.</w:t>
            </w:r>
            <w:r>
              <w:rPr>
                <w:rFonts w:hint="eastAsia"/>
                <w:color w:val="FF0000"/>
                <w:sz w:val="24"/>
                <w:lang w:val="en-US" w:eastAsia="zh-CN"/>
              </w:rPr>
              <w:t>7228</w:t>
            </w:r>
            <w:r>
              <w:rPr>
                <w:rFonts w:ascii="Times New Roman" w:hAnsi="Times New Roman"/>
                <w:color w:val="FF0000"/>
                <w:sz w:val="24"/>
                <w:szCs w:val="24"/>
              </w:rPr>
              <w:t>hm</w:t>
            </w:r>
            <w:r>
              <w:rPr>
                <w:rFonts w:ascii="Times New Roman" w:hAnsi="Times New Roman"/>
                <w:color w:val="FF0000"/>
                <w:sz w:val="24"/>
                <w:szCs w:val="24"/>
                <w:vertAlign w:val="superscript"/>
              </w:rPr>
              <w:t>2</w:t>
            </w:r>
            <w:r>
              <w:rPr>
                <w:rFonts w:ascii="Times New Roman" w:hAnsi="Times New Roman"/>
                <w:color w:val="FF0000"/>
                <w:sz w:val="24"/>
                <w:szCs w:val="24"/>
              </w:rPr>
              <w:t>，</w:t>
            </w:r>
            <w:bookmarkStart w:id="13" w:name="_Hlk58331127"/>
            <w:r>
              <w:rPr>
                <w:rFonts w:ascii="Times New Roman" w:hAnsi="Times New Roman"/>
                <w:color w:val="FF0000"/>
                <w:sz w:val="24"/>
                <w:szCs w:val="24"/>
              </w:rPr>
              <w:t>临时占地</w:t>
            </w:r>
            <w:r>
              <w:rPr>
                <w:rFonts w:hint="eastAsia"/>
                <w:color w:val="FF0000"/>
                <w:sz w:val="24"/>
                <w:szCs w:val="24"/>
                <w:lang w:val="en-US" w:eastAsia="zh-CN"/>
              </w:rPr>
              <w:t>3.2025</w:t>
            </w:r>
            <w:r>
              <w:rPr>
                <w:rFonts w:ascii="Times New Roman" w:hAnsi="Times New Roman"/>
                <w:color w:val="FF0000"/>
                <w:sz w:val="24"/>
                <w:szCs w:val="24"/>
              </w:rPr>
              <w:t>hm</w:t>
            </w:r>
            <w:r>
              <w:rPr>
                <w:rFonts w:ascii="Times New Roman" w:hAnsi="Times New Roman"/>
                <w:color w:val="FF0000"/>
                <w:sz w:val="24"/>
                <w:szCs w:val="24"/>
                <w:vertAlign w:val="superscript"/>
              </w:rPr>
              <w:t>2</w:t>
            </w:r>
            <w:r>
              <w:rPr>
                <w:rFonts w:ascii="Times New Roman" w:hAnsi="Times New Roman"/>
                <w:color w:val="FF0000"/>
                <w:sz w:val="24"/>
                <w:szCs w:val="24"/>
              </w:rPr>
              <w:t>。</w:t>
            </w:r>
            <w:bookmarkEnd w:id="13"/>
            <w:r>
              <w:rPr>
                <w:rFonts w:ascii="Times New Roman" w:hAnsi="Times New Roman"/>
                <w:color w:val="FF0000"/>
                <w:sz w:val="24"/>
              </w:rPr>
              <w:t>项目占地情况见表1-8。</w:t>
            </w:r>
          </w:p>
          <w:p>
            <w:pPr>
              <w:pStyle w:val="40"/>
              <w:ind w:firstLine="480" w:firstLineChars="200"/>
              <w:jc w:val="center"/>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 xml:space="preserve">表1-8 </w:t>
            </w:r>
            <w:r>
              <w:rPr>
                <w:rFonts w:hint="eastAsia" w:ascii="Times New Roman" w:hAnsi="Times New Roman"/>
                <w:color w:val="000000" w:themeColor="text1"/>
                <w:lang w:val="en-US" w:eastAsia="zh-CN"/>
                <w14:textFill>
                  <w14:solidFill>
                    <w14:schemeClr w14:val="tx1"/>
                  </w14:solidFill>
                </w14:textFill>
              </w:rPr>
              <w:t xml:space="preserve"> </w:t>
            </w:r>
            <w:r>
              <w:rPr>
                <w:rFonts w:hint="default" w:ascii="Times New Roman" w:hAnsi="Times New Roman"/>
                <w:color w:val="000000" w:themeColor="text1"/>
                <w14:textFill>
                  <w14:solidFill>
                    <w14:schemeClr w14:val="tx1"/>
                  </w14:solidFill>
                </w14:textFill>
              </w:rPr>
              <w:t>工程用地情况</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308"/>
              <w:gridCol w:w="4736"/>
              <w:gridCol w:w="14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0" w:type="pct"/>
                  <w:gridSpan w:val="2"/>
                  <w:tcBorders>
                    <w:tl2br w:val="nil"/>
                    <w:tr2bl w:val="nil"/>
                  </w:tcBorders>
                  <w:vAlign w:val="center"/>
                </w:tcPr>
                <w:p>
                  <w:pPr>
                    <w:snapToGrid w:val="0"/>
                    <w:spacing w:line="360" w:lineRule="atLeas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项目</w:t>
                  </w:r>
                </w:p>
              </w:tc>
              <w:tc>
                <w:tcPr>
                  <w:tcW w:w="2901" w:type="pct"/>
                  <w:tcBorders>
                    <w:tl2br w:val="nil"/>
                    <w:tr2bl w:val="nil"/>
                  </w:tcBorders>
                  <w:vAlign w:val="center"/>
                </w:tcPr>
                <w:p>
                  <w:pPr>
                    <w:snapToGrid w:val="0"/>
                    <w:spacing w:line="360" w:lineRule="atLeas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占地内容</w:t>
                  </w:r>
                </w:p>
              </w:tc>
              <w:tc>
                <w:tcPr>
                  <w:tcW w:w="858" w:type="pct"/>
                  <w:tcBorders>
                    <w:tl2br w:val="nil"/>
                    <w:tr2bl w:val="nil"/>
                  </w:tcBorders>
                  <w:vAlign w:val="center"/>
                </w:tcPr>
                <w:p>
                  <w:pPr>
                    <w:snapToGrid w:val="0"/>
                    <w:spacing w:line="360" w:lineRule="atLeas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面积（hm</w:t>
                  </w:r>
                  <w:r>
                    <w:rPr>
                      <w:rFonts w:ascii="Times New Roman" w:hAnsi="Times New Roman"/>
                      <w:color w:val="000000" w:themeColor="text1"/>
                      <w:szCs w:val="21"/>
                      <w:vertAlign w:val="superscript"/>
                      <w14:textFill>
                        <w14:solidFill>
                          <w14:schemeClr w14:val="tx1"/>
                        </w14:solidFill>
                      </w14:textFill>
                    </w:rPr>
                    <w:t>2</w:t>
                  </w: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restart"/>
                  <w:tcBorders>
                    <w:tl2br w:val="nil"/>
                    <w:tr2bl w:val="nil"/>
                  </w:tcBorders>
                  <w:vAlign w:val="center"/>
                </w:tcPr>
                <w:p>
                  <w:pPr>
                    <w:snapToGrid w:val="0"/>
                    <w:spacing w:line="360" w:lineRule="atLeas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永久性占地</w:t>
                  </w:r>
                </w:p>
              </w:tc>
              <w:tc>
                <w:tcPr>
                  <w:tcW w:w="800" w:type="pct"/>
                  <w:tcBorders>
                    <w:tl2br w:val="nil"/>
                    <w:tr2bl w:val="nil"/>
                  </w:tcBorders>
                  <w:vAlign w:val="center"/>
                </w:tcPr>
                <w:p>
                  <w:pPr>
                    <w:snapToGrid w:val="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风机基础</w:t>
                  </w:r>
                </w:p>
              </w:tc>
              <w:tc>
                <w:tcPr>
                  <w:tcW w:w="2901" w:type="pct"/>
                  <w:tcBorders>
                    <w:tl2br w:val="nil"/>
                    <w:tr2bl w:val="nil"/>
                  </w:tcBorders>
                  <w:vAlign w:val="center"/>
                </w:tcPr>
                <w:p>
                  <w:pPr>
                    <w:snapToGrid w:val="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风机基础占地直径</w:t>
                  </w:r>
                  <w:r>
                    <w:rPr>
                      <w:rFonts w:hint="eastAsia"/>
                      <w:color w:val="000000" w:themeColor="text1"/>
                      <w:szCs w:val="21"/>
                      <w:lang w:val="en-US" w:eastAsia="zh-CN"/>
                      <w14:textFill>
                        <w14:solidFill>
                          <w14:schemeClr w14:val="tx1"/>
                        </w14:solidFill>
                      </w14:textFill>
                    </w:rPr>
                    <w:t>20</w:t>
                  </w:r>
                  <w:r>
                    <w:rPr>
                      <w:rFonts w:ascii="Times New Roman" w:hAnsi="Times New Roman"/>
                      <w:color w:val="000000" w:themeColor="text1"/>
                      <w:szCs w:val="21"/>
                      <w14:textFill>
                        <w14:solidFill>
                          <w14:schemeClr w14:val="tx1"/>
                        </w14:solidFill>
                      </w14:textFill>
                    </w:rPr>
                    <w:t>m圆形，</w:t>
                  </w:r>
                  <w:r>
                    <w:rPr>
                      <w:rFonts w:hint="eastAsia"/>
                      <w:color w:val="000000" w:themeColor="text1"/>
                      <w:szCs w:val="21"/>
                      <w:lang w:val="en-US" w:eastAsia="zh-CN"/>
                      <w14:textFill>
                        <w14:solidFill>
                          <w14:schemeClr w14:val="tx1"/>
                        </w14:solidFill>
                      </w14:textFill>
                    </w:rPr>
                    <w:t>314.16</w:t>
                  </w:r>
                  <w:r>
                    <w:rPr>
                      <w:rFonts w:ascii="Times New Roman" w:hAnsi="Times New Roman"/>
                      <w:color w:val="000000" w:themeColor="text1"/>
                      <w:szCs w:val="21"/>
                      <w14:textFill>
                        <w14:solidFill>
                          <w14:schemeClr w14:val="tx1"/>
                        </w14:solidFill>
                      </w14:textFill>
                    </w:rPr>
                    <w:t>m</w:t>
                  </w:r>
                  <w:r>
                    <w:rPr>
                      <w:rFonts w:ascii="Times New Roman" w:hAnsi="Times New Roman"/>
                      <w:color w:val="000000" w:themeColor="text1"/>
                      <w:szCs w:val="21"/>
                      <w:vertAlign w:val="superscript"/>
                      <w14:textFill>
                        <w14:solidFill>
                          <w14:schemeClr w14:val="tx1"/>
                        </w14:solidFill>
                      </w14:textFill>
                    </w:rPr>
                    <w:t>2</w:t>
                  </w:r>
                  <w:r>
                    <w:rPr>
                      <w:rFonts w:ascii="Times New Roman" w:hAnsi="Times New Roman"/>
                      <w:color w:val="000000" w:themeColor="text1"/>
                      <w:szCs w:val="21"/>
                      <w14:textFill>
                        <w14:solidFill>
                          <w14:schemeClr w14:val="tx1"/>
                        </w14:solidFill>
                      </w14:textFill>
                    </w:rPr>
                    <w:t>/台</w:t>
                  </w:r>
                </w:p>
              </w:tc>
              <w:tc>
                <w:tcPr>
                  <w:tcW w:w="858" w:type="pct"/>
                  <w:vMerge w:val="restart"/>
                  <w:tcBorders>
                    <w:tl2br w:val="nil"/>
                    <w:tr2bl w:val="nil"/>
                  </w:tcBorders>
                  <w:vAlign w:val="center"/>
                </w:tcPr>
                <w:p>
                  <w:pPr>
                    <w:snapToGrid w:val="0"/>
                    <w:spacing w:line="360" w:lineRule="atLeas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0.3208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Borders>
                    <w:tl2br w:val="nil"/>
                    <w:tr2bl w:val="nil"/>
                  </w:tcBorders>
                  <w:vAlign w:val="center"/>
                </w:tcPr>
                <w:p>
                  <w:pPr>
                    <w:widowControl/>
                    <w:jc w:val="left"/>
                    <w:rPr>
                      <w:rFonts w:ascii="Times New Roman" w:hAnsi="Times New Roman"/>
                      <w:color w:val="000000" w:themeColor="text1"/>
                      <w:szCs w:val="21"/>
                      <w14:textFill>
                        <w14:solidFill>
                          <w14:schemeClr w14:val="tx1"/>
                        </w14:solidFill>
                      </w14:textFill>
                    </w:rPr>
                  </w:pPr>
                </w:p>
              </w:tc>
              <w:tc>
                <w:tcPr>
                  <w:tcW w:w="800" w:type="pct"/>
                  <w:tcBorders>
                    <w:tl2br w:val="nil"/>
                    <w:tr2bl w:val="nil"/>
                  </w:tcBorders>
                  <w:vAlign w:val="center"/>
                </w:tcPr>
                <w:p>
                  <w:pPr>
                    <w:snapToGrid w:val="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箱变基础</w:t>
                  </w:r>
                </w:p>
              </w:tc>
              <w:tc>
                <w:tcPr>
                  <w:tcW w:w="2901" w:type="pct"/>
                  <w:tcBorders>
                    <w:tl2br w:val="nil"/>
                    <w:tr2bl w:val="nil"/>
                  </w:tcBorders>
                  <w:vAlign w:val="center"/>
                </w:tcPr>
                <w:p>
                  <w:pPr>
                    <w:snapToGrid w:val="0"/>
                    <w:jc w:val="left"/>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8</w:t>
                  </w:r>
                  <w:r>
                    <w:rPr>
                      <w:rFonts w:ascii="Times New Roman" w:hAnsi="Times New Roman"/>
                      <w:color w:val="000000" w:themeColor="text1"/>
                      <w:szCs w:val="21"/>
                      <w14:textFill>
                        <w14:solidFill>
                          <w14:schemeClr w14:val="tx1"/>
                        </w14:solidFill>
                      </w14:textFill>
                    </w:rPr>
                    <w:t>个箱变基础，箱变基础</w:t>
                  </w:r>
                  <w:r>
                    <w:rPr>
                      <w:rFonts w:hint="eastAsia"/>
                      <w:color w:val="000000" w:themeColor="text1"/>
                      <w:szCs w:val="21"/>
                      <w:lang w:val="en-US" w:eastAsia="zh-CN"/>
                      <w14:textFill>
                        <w14:solidFill>
                          <w14:schemeClr w14:val="tx1"/>
                        </w14:solidFill>
                      </w14:textFill>
                    </w:rPr>
                    <w:t>5</w:t>
                  </w:r>
                  <w:r>
                    <w:rPr>
                      <w:rFonts w:ascii="Times New Roman" w:hAnsi="Times New Roman"/>
                      <w:color w:val="000000" w:themeColor="text1"/>
                      <w:szCs w:val="21"/>
                      <w14:textFill>
                        <w14:solidFill>
                          <w14:schemeClr w14:val="tx1"/>
                        </w14:solidFill>
                      </w14:textFill>
                    </w:rPr>
                    <w:t>m×2.</w:t>
                  </w:r>
                  <w:r>
                    <w:rPr>
                      <w:rFonts w:hint="eastAsia"/>
                      <w:color w:val="000000" w:themeColor="text1"/>
                      <w:szCs w:val="21"/>
                      <w:lang w:val="en-US" w:eastAsia="zh-CN"/>
                      <w14:textFill>
                        <w14:solidFill>
                          <w14:schemeClr w14:val="tx1"/>
                        </w14:solidFill>
                      </w14:textFill>
                    </w:rPr>
                    <w:t>5</w:t>
                  </w:r>
                  <w:r>
                    <w:rPr>
                      <w:rFonts w:ascii="Times New Roman" w:hAnsi="Times New Roman"/>
                      <w:color w:val="000000" w:themeColor="text1"/>
                      <w:szCs w:val="21"/>
                      <w14:textFill>
                        <w14:solidFill>
                          <w14:schemeClr w14:val="tx1"/>
                        </w14:solidFill>
                      </w14:textFill>
                    </w:rPr>
                    <w:t>5m×1.</w:t>
                  </w:r>
                  <w:r>
                    <w:rPr>
                      <w:rFonts w:hint="eastAsia"/>
                      <w:color w:val="000000" w:themeColor="text1"/>
                      <w:szCs w:val="21"/>
                      <w:lang w:val="en-US" w:eastAsia="zh-CN"/>
                      <w14:textFill>
                        <w14:solidFill>
                          <w14:schemeClr w14:val="tx1"/>
                        </w14:solidFill>
                      </w14:textFill>
                    </w:rPr>
                    <w:t>75</w:t>
                  </w:r>
                  <w:r>
                    <w:rPr>
                      <w:rFonts w:ascii="Times New Roman" w:hAnsi="Times New Roman"/>
                      <w:color w:val="000000" w:themeColor="text1"/>
                      <w:szCs w:val="21"/>
                      <w14:textFill>
                        <w14:solidFill>
                          <w14:schemeClr w14:val="tx1"/>
                        </w14:solidFill>
                      </w14:textFill>
                    </w:rPr>
                    <w:t>m</w:t>
                  </w:r>
                </w:p>
              </w:tc>
              <w:tc>
                <w:tcPr>
                  <w:tcW w:w="858" w:type="pct"/>
                  <w:vMerge w:val="continue"/>
                  <w:tcBorders>
                    <w:tl2br w:val="nil"/>
                    <w:tr2bl w:val="nil"/>
                  </w:tcBorders>
                  <w:vAlign w:val="center"/>
                </w:tcPr>
                <w:p>
                  <w:pPr>
                    <w:snapToGrid w:val="0"/>
                    <w:spacing w:line="360" w:lineRule="atLeast"/>
                    <w:jc w:val="center"/>
                    <w:rPr>
                      <w:rFonts w:ascii="Times New Roman" w:hAnsi="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Borders>
                    <w:tl2br w:val="nil"/>
                    <w:tr2bl w:val="nil"/>
                  </w:tcBorders>
                  <w:vAlign w:val="center"/>
                </w:tcPr>
                <w:p>
                  <w:pPr>
                    <w:widowControl/>
                    <w:jc w:val="left"/>
                    <w:rPr>
                      <w:rFonts w:ascii="Times New Roman" w:hAnsi="Times New Roman"/>
                      <w:color w:val="000000" w:themeColor="text1"/>
                      <w:szCs w:val="21"/>
                      <w14:textFill>
                        <w14:solidFill>
                          <w14:schemeClr w14:val="tx1"/>
                        </w14:solidFill>
                      </w14:textFill>
                    </w:rPr>
                  </w:pPr>
                </w:p>
              </w:tc>
              <w:tc>
                <w:tcPr>
                  <w:tcW w:w="800" w:type="pct"/>
                  <w:tcBorders>
                    <w:tl2br w:val="nil"/>
                    <w:tr2bl w:val="nil"/>
                  </w:tcBorders>
                  <w:vAlign w:val="center"/>
                </w:tcPr>
                <w:p>
                  <w:pPr>
                    <w:snapToGrid w:val="0"/>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直埋电缆</w:t>
                  </w:r>
                </w:p>
              </w:tc>
              <w:tc>
                <w:tcPr>
                  <w:tcW w:w="2901" w:type="pct"/>
                  <w:tcBorders>
                    <w:tl2br w:val="nil"/>
                    <w:tr2bl w:val="nil"/>
                  </w:tcBorders>
                  <w:vAlign w:val="center"/>
                </w:tcPr>
                <w:p>
                  <w:pPr>
                    <w:snapToGrid w:val="0"/>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电缆直埋</w:t>
                  </w:r>
                  <w:r>
                    <w:rPr>
                      <w:rFonts w:hint="eastAsia"/>
                      <w:color w:val="000000" w:themeColor="text1"/>
                      <w:szCs w:val="21"/>
                      <w:lang w:val="en-US" w:eastAsia="zh-CN"/>
                      <w14:textFill>
                        <w14:solidFill>
                          <w14:schemeClr w14:val="tx1"/>
                        </w14:solidFill>
                      </w14:textFill>
                    </w:rPr>
                    <w:t>1.0k</w:t>
                  </w:r>
                  <w:r>
                    <w:rPr>
                      <w:rFonts w:ascii="Times New Roman" w:hAnsi="Times New Roman"/>
                      <w:color w:val="000000" w:themeColor="text1"/>
                      <w:szCs w:val="21"/>
                      <w14:textFill>
                        <w14:solidFill>
                          <w14:schemeClr w14:val="tx1"/>
                        </w14:solidFill>
                      </w14:textFill>
                    </w:rPr>
                    <w:t>m，按宽1.2m计</w:t>
                  </w:r>
                </w:p>
              </w:tc>
              <w:tc>
                <w:tcPr>
                  <w:tcW w:w="858" w:type="pct"/>
                  <w:vMerge w:val="continue"/>
                  <w:tcBorders>
                    <w:tl2br w:val="nil"/>
                    <w:tr2bl w:val="nil"/>
                  </w:tcBorders>
                  <w:vAlign w:val="center"/>
                </w:tcPr>
                <w:p>
                  <w:pPr>
                    <w:snapToGrid w:val="0"/>
                    <w:spacing w:line="360" w:lineRule="atLeast"/>
                    <w:jc w:val="center"/>
                    <w:rPr>
                      <w:rFonts w:ascii="Times New Roman" w:hAnsi="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39" w:type="pct"/>
                  <w:vMerge w:val="continue"/>
                  <w:tcBorders>
                    <w:tl2br w:val="nil"/>
                    <w:tr2bl w:val="nil"/>
                  </w:tcBorders>
                  <w:vAlign w:val="center"/>
                </w:tcPr>
                <w:p>
                  <w:pPr>
                    <w:widowControl/>
                    <w:jc w:val="left"/>
                    <w:rPr>
                      <w:rFonts w:ascii="Times New Roman" w:hAnsi="Times New Roman"/>
                      <w:color w:val="000000" w:themeColor="text1"/>
                      <w:szCs w:val="21"/>
                      <w14:textFill>
                        <w14:solidFill>
                          <w14:schemeClr w14:val="tx1"/>
                        </w14:solidFill>
                      </w14:textFill>
                    </w:rPr>
                  </w:pPr>
                </w:p>
              </w:tc>
              <w:tc>
                <w:tcPr>
                  <w:tcW w:w="800" w:type="pct"/>
                  <w:tcBorders>
                    <w:tl2br w:val="nil"/>
                    <w:tr2bl w:val="nil"/>
                  </w:tcBorders>
                  <w:vAlign w:val="center"/>
                </w:tcPr>
                <w:p>
                  <w:pPr>
                    <w:snapToGrid w:val="0"/>
                    <w:jc w:val="left"/>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35</w:t>
                  </w:r>
                  <w:r>
                    <w:rPr>
                      <w:rFonts w:ascii="Times New Roman" w:hAnsi="Times New Roman"/>
                      <w:color w:val="000000" w:themeColor="text1"/>
                      <w:szCs w:val="21"/>
                      <w14:textFill>
                        <w14:solidFill>
                          <w14:schemeClr w14:val="tx1"/>
                        </w14:solidFill>
                      </w14:textFill>
                    </w:rPr>
                    <w:t>kV</w:t>
                  </w:r>
                  <w:r>
                    <w:rPr>
                      <w:rFonts w:hint="eastAsia"/>
                      <w:color w:val="000000" w:themeColor="text1"/>
                      <w:szCs w:val="21"/>
                      <w:lang w:val="en-US" w:eastAsia="zh-CN"/>
                      <w14:textFill>
                        <w14:solidFill>
                          <w14:schemeClr w14:val="tx1"/>
                        </w14:solidFill>
                      </w14:textFill>
                    </w:rPr>
                    <w:t>开关站</w:t>
                  </w:r>
                </w:p>
              </w:tc>
              <w:tc>
                <w:tcPr>
                  <w:tcW w:w="2901" w:type="pct"/>
                  <w:tcBorders>
                    <w:tl2br w:val="nil"/>
                    <w:tr2bl w:val="nil"/>
                  </w:tcBorders>
                  <w:vAlign w:val="center"/>
                </w:tcPr>
                <w:p>
                  <w:pPr>
                    <w:snapToGrid w:val="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包括SVG预制舱、一二次预制舱和危险废物暂存间等构筑物</w:t>
                  </w:r>
                </w:p>
              </w:tc>
              <w:tc>
                <w:tcPr>
                  <w:tcW w:w="858" w:type="pct"/>
                  <w:tcBorders>
                    <w:tl2br w:val="nil"/>
                    <w:tr2bl w:val="nil"/>
                  </w:tcBorders>
                  <w:vAlign w:val="center"/>
                </w:tcPr>
                <w:p>
                  <w:pPr>
                    <w:snapToGrid w:val="0"/>
                    <w:spacing w:line="360" w:lineRule="atLeas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0.1500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39" w:type="pct"/>
                  <w:vMerge w:val="continue"/>
                  <w:tcBorders>
                    <w:tl2br w:val="nil"/>
                    <w:tr2bl w:val="nil"/>
                  </w:tcBorders>
                  <w:vAlign w:val="center"/>
                </w:tcPr>
                <w:p>
                  <w:pPr>
                    <w:widowControl/>
                    <w:jc w:val="left"/>
                    <w:rPr>
                      <w:rFonts w:ascii="Times New Roman" w:hAnsi="Times New Roman"/>
                      <w:color w:val="000000" w:themeColor="text1"/>
                      <w:szCs w:val="21"/>
                      <w14:textFill>
                        <w14:solidFill>
                          <w14:schemeClr w14:val="tx1"/>
                        </w14:solidFill>
                      </w14:textFill>
                    </w:rPr>
                  </w:pPr>
                </w:p>
              </w:tc>
              <w:tc>
                <w:tcPr>
                  <w:tcW w:w="800" w:type="pct"/>
                  <w:tcBorders>
                    <w:tl2br w:val="nil"/>
                    <w:tr2bl w:val="nil"/>
                  </w:tcBorders>
                  <w:vAlign w:val="center"/>
                </w:tcPr>
                <w:p>
                  <w:pPr>
                    <w:snapToGrid w:val="0"/>
                    <w:spacing w:line="240" w:lineRule="exact"/>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Cs w:val="21"/>
                      <w14:textFill>
                        <w14:solidFill>
                          <w14:schemeClr w14:val="tx1"/>
                        </w14:solidFill>
                      </w14:textFill>
                    </w:rPr>
                    <w:t>架空线杆塔基础</w:t>
                  </w:r>
                </w:p>
              </w:tc>
              <w:tc>
                <w:tcPr>
                  <w:tcW w:w="2901" w:type="pct"/>
                  <w:tcBorders>
                    <w:tl2br w:val="nil"/>
                    <w:tr2bl w:val="nil"/>
                  </w:tcBorders>
                  <w:vAlign w:val="center"/>
                </w:tcPr>
                <w:p>
                  <w:pPr>
                    <w:snapToGrid w:val="0"/>
                    <w:spacing w:line="240" w:lineRule="exact"/>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Cs w:val="21"/>
                      <w14:textFill>
                        <w14:solidFill>
                          <w14:schemeClr w14:val="tx1"/>
                        </w14:solidFill>
                      </w14:textFill>
                    </w:rPr>
                    <w:t>全线路共需铁塔</w:t>
                  </w:r>
                  <w:r>
                    <w:rPr>
                      <w:rFonts w:hint="eastAsia"/>
                      <w:color w:val="000000" w:themeColor="text1"/>
                      <w:szCs w:val="21"/>
                      <w:lang w:val="en-US" w:eastAsia="zh-CN"/>
                      <w14:textFill>
                        <w14:solidFill>
                          <w14:schemeClr w14:val="tx1"/>
                        </w14:solidFill>
                      </w14:textFill>
                    </w:rPr>
                    <w:t>70</w:t>
                  </w:r>
                  <w:r>
                    <w:rPr>
                      <w:rFonts w:ascii="Times New Roman" w:hAnsi="Times New Roman"/>
                      <w:color w:val="000000" w:themeColor="text1"/>
                      <w:szCs w:val="21"/>
                      <w14:textFill>
                        <w14:solidFill>
                          <w14:schemeClr w14:val="tx1"/>
                        </w14:solidFill>
                      </w14:textFill>
                    </w:rPr>
                    <w:t>基，每基按</w:t>
                  </w:r>
                  <w:r>
                    <w:rPr>
                      <w:rFonts w:hint="eastAsia"/>
                      <w:color w:val="000000" w:themeColor="text1"/>
                      <w:szCs w:val="21"/>
                      <w:lang w:val="en-US" w:eastAsia="zh-CN"/>
                      <w14:textFill>
                        <w14:solidFill>
                          <w14:schemeClr w14:val="tx1"/>
                        </w14:solidFill>
                      </w14:textFill>
                    </w:rPr>
                    <w:t>36</w:t>
                  </w:r>
                  <w:r>
                    <w:rPr>
                      <w:rFonts w:ascii="Times New Roman" w:hAnsi="Times New Roman"/>
                      <w:color w:val="000000" w:themeColor="text1"/>
                      <w:szCs w:val="21"/>
                      <w14:textFill>
                        <w14:solidFill>
                          <w14:schemeClr w14:val="tx1"/>
                        </w14:solidFill>
                      </w14:textFill>
                    </w:rPr>
                    <w:t>m</w:t>
                  </w:r>
                  <w:r>
                    <w:rPr>
                      <w:rFonts w:ascii="Times New Roman" w:hAnsi="Times New Roman"/>
                      <w:color w:val="000000" w:themeColor="text1"/>
                      <w:szCs w:val="21"/>
                      <w:vertAlign w:val="superscript"/>
                      <w14:textFill>
                        <w14:solidFill>
                          <w14:schemeClr w14:val="tx1"/>
                        </w14:solidFill>
                      </w14:textFill>
                    </w:rPr>
                    <w:t>2</w:t>
                  </w:r>
                  <w:r>
                    <w:rPr>
                      <w:rFonts w:ascii="Times New Roman" w:hAnsi="Times New Roman"/>
                      <w:color w:val="000000" w:themeColor="text1"/>
                      <w:szCs w:val="21"/>
                      <w14:textFill>
                        <w14:solidFill>
                          <w14:schemeClr w14:val="tx1"/>
                        </w14:solidFill>
                      </w14:textFill>
                    </w:rPr>
                    <w:t>计算</w:t>
                  </w:r>
                </w:p>
              </w:tc>
              <w:tc>
                <w:tcPr>
                  <w:tcW w:w="858" w:type="pct"/>
                  <w:tcBorders>
                    <w:tl2br w:val="nil"/>
                    <w:tr2bl w:val="nil"/>
                  </w:tcBorders>
                  <w:vAlign w:val="center"/>
                </w:tcPr>
                <w:p>
                  <w:pPr>
                    <w:snapToGrid w:val="0"/>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0.2520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39" w:type="pct"/>
                  <w:vMerge w:val="continue"/>
                  <w:tcBorders>
                    <w:tl2br w:val="nil"/>
                    <w:tr2bl w:val="nil"/>
                  </w:tcBorders>
                  <w:vAlign w:val="center"/>
                </w:tcPr>
                <w:p>
                  <w:pPr>
                    <w:widowControl/>
                    <w:jc w:val="left"/>
                    <w:rPr>
                      <w:rFonts w:ascii="Times New Roman" w:hAnsi="Times New Roman"/>
                      <w:color w:val="000000" w:themeColor="text1"/>
                      <w:szCs w:val="21"/>
                      <w14:textFill>
                        <w14:solidFill>
                          <w14:schemeClr w14:val="tx1"/>
                        </w14:solidFill>
                      </w14:textFill>
                    </w:rPr>
                  </w:pPr>
                </w:p>
              </w:tc>
              <w:tc>
                <w:tcPr>
                  <w:tcW w:w="3701" w:type="pct"/>
                  <w:gridSpan w:val="2"/>
                  <w:tcBorders>
                    <w:tl2br w:val="nil"/>
                    <w:tr2bl w:val="nil"/>
                  </w:tcBorders>
                  <w:vAlign w:val="center"/>
                </w:tcPr>
                <w:p>
                  <w:pPr>
                    <w:snapToGrid w:val="0"/>
                    <w:spacing w:line="360" w:lineRule="atLeas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合计</w:t>
                  </w:r>
                </w:p>
              </w:tc>
              <w:tc>
                <w:tcPr>
                  <w:tcW w:w="858" w:type="pct"/>
                  <w:tcBorders>
                    <w:tl2br w:val="nil"/>
                    <w:tr2bl w:val="nil"/>
                  </w:tcBorders>
                  <w:vAlign w:val="center"/>
                </w:tcPr>
                <w:p>
                  <w:pPr>
                    <w:snapToGrid w:val="0"/>
                    <w:spacing w:line="360" w:lineRule="atLeas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0.7228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9" w:type="pct"/>
                  <w:vMerge w:val="restart"/>
                  <w:tcBorders>
                    <w:tl2br w:val="nil"/>
                    <w:tr2bl w:val="nil"/>
                  </w:tcBorders>
                  <w:vAlign w:val="center"/>
                </w:tcPr>
                <w:p>
                  <w:pPr>
                    <w:snapToGrid w:val="0"/>
                    <w:spacing w:line="360" w:lineRule="atLeas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临时性占地</w:t>
                  </w:r>
                </w:p>
              </w:tc>
              <w:tc>
                <w:tcPr>
                  <w:tcW w:w="800" w:type="pct"/>
                  <w:tcBorders>
                    <w:tl2br w:val="nil"/>
                    <w:tr2bl w:val="nil"/>
                  </w:tcBorders>
                  <w:vAlign w:val="center"/>
                </w:tcPr>
                <w:p>
                  <w:pPr>
                    <w:snapToGrid w:val="0"/>
                    <w:spacing w:line="360" w:lineRule="atLeas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改建道路</w:t>
                  </w:r>
                </w:p>
              </w:tc>
              <w:tc>
                <w:tcPr>
                  <w:tcW w:w="2901" w:type="pct"/>
                  <w:tcBorders>
                    <w:tl2br w:val="nil"/>
                    <w:tr2bl w:val="nil"/>
                  </w:tcBorders>
                  <w:vAlign w:val="center"/>
                </w:tcPr>
                <w:p>
                  <w:pPr>
                    <w:snapToGrid w:val="0"/>
                    <w:spacing w:line="360" w:lineRule="atLeas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改造道路</w:t>
                  </w:r>
                  <w:r>
                    <w:rPr>
                      <w:rFonts w:hint="eastAsia"/>
                      <w:color w:val="000000" w:themeColor="text1"/>
                      <w:szCs w:val="21"/>
                      <w:lang w:val="en-US" w:eastAsia="zh-CN"/>
                      <w14:textFill>
                        <w14:solidFill>
                          <w14:schemeClr w14:val="tx1"/>
                        </w14:solidFill>
                      </w14:textFill>
                    </w:rPr>
                    <w:t>2.77</w:t>
                  </w:r>
                  <w:r>
                    <w:rPr>
                      <w:rFonts w:ascii="Times New Roman" w:hAnsi="Times New Roman"/>
                      <w:color w:val="000000" w:themeColor="text1"/>
                      <w:szCs w:val="21"/>
                      <w14:textFill>
                        <w14:solidFill>
                          <w14:schemeClr w14:val="tx1"/>
                        </w14:solidFill>
                      </w14:textFill>
                    </w:rPr>
                    <w:t>km，路基宽</w:t>
                  </w:r>
                  <w:r>
                    <w:rPr>
                      <w:rFonts w:hint="eastAsia"/>
                      <w:color w:val="000000" w:themeColor="text1"/>
                      <w:szCs w:val="21"/>
                      <w:lang w:val="en-US" w:eastAsia="zh-CN"/>
                      <w14:textFill>
                        <w14:solidFill>
                          <w14:schemeClr w14:val="tx1"/>
                        </w14:solidFill>
                      </w14:textFill>
                    </w:rPr>
                    <w:t>5.0</w:t>
                  </w:r>
                  <w:r>
                    <w:rPr>
                      <w:rFonts w:ascii="Times New Roman" w:hAnsi="Times New Roman"/>
                      <w:color w:val="000000" w:themeColor="text1"/>
                      <w:szCs w:val="21"/>
                      <w14:textFill>
                        <w14:solidFill>
                          <w14:schemeClr w14:val="tx1"/>
                        </w14:solidFill>
                      </w14:textFill>
                    </w:rPr>
                    <w:t>m</w:t>
                  </w:r>
                </w:p>
              </w:tc>
              <w:tc>
                <w:tcPr>
                  <w:tcW w:w="858" w:type="pct"/>
                  <w:tcBorders>
                    <w:tl2br w:val="nil"/>
                    <w:tr2bl w:val="nil"/>
                  </w:tcBorders>
                  <w:vAlign w:val="center"/>
                </w:tcPr>
                <w:p>
                  <w:pPr>
                    <w:snapToGrid w:val="0"/>
                    <w:spacing w:line="360" w:lineRule="atLeas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0.2770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Merge w:val="continue"/>
                  <w:tcBorders>
                    <w:tl2br w:val="nil"/>
                    <w:tr2bl w:val="nil"/>
                  </w:tcBorders>
                  <w:vAlign w:val="center"/>
                </w:tcPr>
                <w:p>
                  <w:pPr>
                    <w:widowControl/>
                    <w:jc w:val="left"/>
                    <w:rPr>
                      <w:rFonts w:ascii="Times New Roman" w:hAnsi="Times New Roman"/>
                      <w:color w:val="000000" w:themeColor="text1"/>
                      <w:szCs w:val="21"/>
                      <w14:textFill>
                        <w14:solidFill>
                          <w14:schemeClr w14:val="tx1"/>
                        </w14:solidFill>
                      </w14:textFill>
                    </w:rPr>
                  </w:pPr>
                </w:p>
              </w:tc>
              <w:tc>
                <w:tcPr>
                  <w:tcW w:w="800" w:type="pct"/>
                  <w:tcBorders>
                    <w:tl2br w:val="nil"/>
                    <w:tr2bl w:val="nil"/>
                  </w:tcBorders>
                  <w:vAlign w:val="center"/>
                </w:tcPr>
                <w:p>
                  <w:pPr>
                    <w:snapToGrid w:val="0"/>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新建道路</w:t>
                  </w:r>
                </w:p>
              </w:tc>
              <w:tc>
                <w:tcPr>
                  <w:tcW w:w="2901" w:type="pct"/>
                  <w:tcBorders>
                    <w:tl2br w:val="nil"/>
                    <w:tr2bl w:val="nil"/>
                  </w:tcBorders>
                  <w:vAlign w:val="center"/>
                </w:tcPr>
                <w:p>
                  <w:pPr>
                    <w:snapToGrid w:val="0"/>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新建道路</w:t>
                  </w:r>
                  <w:r>
                    <w:rPr>
                      <w:rFonts w:hint="eastAsia"/>
                      <w:color w:val="000000" w:themeColor="text1"/>
                      <w:szCs w:val="21"/>
                      <w:lang w:val="en-US" w:eastAsia="zh-CN"/>
                      <w14:textFill>
                        <w14:solidFill>
                          <w14:schemeClr w14:val="tx1"/>
                        </w14:solidFill>
                      </w14:textFill>
                    </w:rPr>
                    <w:t>2.651</w:t>
                  </w:r>
                  <w:r>
                    <w:rPr>
                      <w:rFonts w:ascii="Times New Roman" w:hAnsi="Times New Roman"/>
                      <w:color w:val="000000" w:themeColor="text1"/>
                      <w:szCs w:val="21"/>
                      <w14:textFill>
                        <w14:solidFill>
                          <w14:schemeClr w14:val="tx1"/>
                        </w14:solidFill>
                      </w14:textFill>
                    </w:rPr>
                    <w:t>km，路基宽</w:t>
                  </w:r>
                  <w:r>
                    <w:rPr>
                      <w:rFonts w:hint="eastAsia"/>
                      <w:color w:val="000000" w:themeColor="text1"/>
                      <w:szCs w:val="21"/>
                      <w:lang w:val="en-US" w:eastAsia="zh-CN"/>
                      <w14:textFill>
                        <w14:solidFill>
                          <w14:schemeClr w14:val="tx1"/>
                        </w14:solidFill>
                      </w14:textFill>
                    </w:rPr>
                    <w:t>5.0</w:t>
                  </w:r>
                  <w:r>
                    <w:rPr>
                      <w:rFonts w:ascii="Times New Roman" w:hAnsi="Times New Roman"/>
                      <w:color w:val="000000" w:themeColor="text1"/>
                      <w:szCs w:val="21"/>
                      <w14:textFill>
                        <w14:solidFill>
                          <w14:schemeClr w14:val="tx1"/>
                        </w14:solidFill>
                      </w14:textFill>
                    </w:rPr>
                    <w:t>m</w:t>
                  </w:r>
                </w:p>
              </w:tc>
              <w:tc>
                <w:tcPr>
                  <w:tcW w:w="858" w:type="pct"/>
                  <w:tcBorders>
                    <w:tl2br w:val="nil"/>
                    <w:tr2bl w:val="nil"/>
                  </w:tcBorders>
                  <w:vAlign w:val="center"/>
                </w:tcPr>
                <w:p>
                  <w:pPr>
                    <w:snapToGrid w:val="0"/>
                    <w:spacing w:line="360" w:lineRule="atLeas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1.3255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39" w:type="pct"/>
                  <w:vMerge w:val="continue"/>
                  <w:tcBorders>
                    <w:tl2br w:val="nil"/>
                    <w:tr2bl w:val="nil"/>
                  </w:tcBorders>
                  <w:vAlign w:val="center"/>
                </w:tcPr>
                <w:p>
                  <w:pPr>
                    <w:widowControl/>
                    <w:jc w:val="left"/>
                    <w:rPr>
                      <w:rFonts w:ascii="Times New Roman" w:hAnsi="Times New Roman"/>
                      <w:color w:val="000000" w:themeColor="text1"/>
                      <w:szCs w:val="21"/>
                      <w14:textFill>
                        <w14:solidFill>
                          <w14:schemeClr w14:val="tx1"/>
                        </w14:solidFill>
                      </w14:textFill>
                    </w:rPr>
                  </w:pPr>
                </w:p>
              </w:tc>
              <w:tc>
                <w:tcPr>
                  <w:tcW w:w="800" w:type="pct"/>
                  <w:tcBorders>
                    <w:tl2br w:val="nil"/>
                    <w:tr2bl w:val="nil"/>
                  </w:tcBorders>
                  <w:vAlign w:val="center"/>
                </w:tcPr>
                <w:p>
                  <w:pPr>
                    <w:snapToGrid w:val="0"/>
                    <w:spacing w:line="240" w:lineRule="exact"/>
                    <w:jc w:val="left"/>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组装及</w:t>
                  </w:r>
                  <w:r>
                    <w:rPr>
                      <w:rFonts w:ascii="Times New Roman" w:hAnsi="Times New Roman"/>
                      <w:color w:val="000000" w:themeColor="text1"/>
                      <w:szCs w:val="21"/>
                      <w14:textFill>
                        <w14:solidFill>
                          <w14:schemeClr w14:val="tx1"/>
                        </w14:solidFill>
                      </w14:textFill>
                    </w:rPr>
                    <w:t>吊装平台</w:t>
                  </w:r>
                </w:p>
              </w:tc>
              <w:tc>
                <w:tcPr>
                  <w:tcW w:w="2901" w:type="pct"/>
                  <w:tcBorders>
                    <w:tl2br w:val="nil"/>
                    <w:tr2bl w:val="nil"/>
                  </w:tcBorders>
                  <w:vAlign w:val="center"/>
                </w:tcPr>
                <w:p>
                  <w:pPr>
                    <w:snapToGrid w:val="0"/>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吊装平台40×50m</w:t>
                  </w:r>
                </w:p>
              </w:tc>
              <w:tc>
                <w:tcPr>
                  <w:tcW w:w="858" w:type="pct"/>
                  <w:tcBorders>
                    <w:tl2br w:val="nil"/>
                    <w:tr2bl w:val="nil"/>
                  </w:tcBorders>
                  <w:vAlign w:val="center"/>
                </w:tcPr>
                <w:p>
                  <w:pPr>
                    <w:snapToGrid w:val="0"/>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1.6000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9" w:type="pct"/>
                  <w:vMerge w:val="continue"/>
                  <w:tcBorders>
                    <w:tl2br w:val="nil"/>
                    <w:tr2bl w:val="nil"/>
                  </w:tcBorders>
                  <w:vAlign w:val="center"/>
                </w:tcPr>
                <w:p>
                  <w:pPr>
                    <w:widowControl/>
                    <w:jc w:val="left"/>
                    <w:rPr>
                      <w:rFonts w:ascii="Times New Roman" w:hAnsi="Times New Roman"/>
                      <w:color w:val="000000" w:themeColor="text1"/>
                      <w:szCs w:val="21"/>
                      <w14:textFill>
                        <w14:solidFill>
                          <w14:schemeClr w14:val="tx1"/>
                        </w14:solidFill>
                      </w14:textFill>
                    </w:rPr>
                  </w:pPr>
                </w:p>
              </w:tc>
              <w:tc>
                <w:tcPr>
                  <w:tcW w:w="3701" w:type="pct"/>
                  <w:gridSpan w:val="2"/>
                  <w:tcBorders>
                    <w:tl2br w:val="nil"/>
                    <w:tr2bl w:val="nil"/>
                  </w:tcBorders>
                  <w:vAlign w:val="center"/>
                </w:tcPr>
                <w:p>
                  <w:pPr>
                    <w:snapToGrid w:val="0"/>
                    <w:spacing w:line="360" w:lineRule="atLeas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合计</w:t>
                  </w:r>
                </w:p>
              </w:tc>
              <w:tc>
                <w:tcPr>
                  <w:tcW w:w="858" w:type="pct"/>
                  <w:tcBorders>
                    <w:tl2br w:val="nil"/>
                    <w:tr2bl w:val="nil"/>
                  </w:tcBorders>
                  <w:vAlign w:val="center"/>
                </w:tcPr>
                <w:p>
                  <w:pPr>
                    <w:snapToGrid w:val="0"/>
                    <w:spacing w:line="360" w:lineRule="atLeas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3.2025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141" w:type="pct"/>
                  <w:gridSpan w:val="3"/>
                  <w:tcBorders>
                    <w:tl2br w:val="nil"/>
                    <w:tr2bl w:val="nil"/>
                  </w:tcBorders>
                  <w:vAlign w:val="center"/>
                </w:tcPr>
                <w:p>
                  <w:pPr>
                    <w:snapToGrid w:val="0"/>
                    <w:spacing w:line="360" w:lineRule="atLeas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总占地</w:t>
                  </w:r>
                </w:p>
              </w:tc>
              <w:tc>
                <w:tcPr>
                  <w:tcW w:w="858" w:type="pct"/>
                  <w:tcBorders>
                    <w:tl2br w:val="nil"/>
                    <w:tr2bl w:val="nil"/>
                  </w:tcBorders>
                  <w:vAlign w:val="center"/>
                </w:tcPr>
                <w:p>
                  <w:pPr>
                    <w:widowControl/>
                    <w:jc w:val="center"/>
                    <w:textAlignment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3.9253</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4、工程特征及主要技术经济指标</w:t>
            </w:r>
          </w:p>
          <w:p>
            <w:pPr>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本项目工程特征及主要技术经济指标见表1-9。</w:t>
            </w:r>
          </w:p>
          <w:p>
            <w:pPr>
              <w:pStyle w:val="40"/>
              <w:ind w:firstLine="480" w:firstLineChars="200"/>
              <w:jc w:val="center"/>
              <w:rPr>
                <w:rFonts w:hint="eastAsia" w:ascii="Times New Roman" w:hAnsi="Times New Roman" w:eastAsia="宋体"/>
                <w:color w:val="000000" w:themeColor="text1"/>
                <w:lang w:eastAsia="zh-CN"/>
                <w14:textFill>
                  <w14:solidFill>
                    <w14:schemeClr w14:val="tx1"/>
                  </w14:solidFill>
                </w14:textFill>
              </w:rPr>
            </w:pPr>
            <w:r>
              <w:rPr>
                <w:rFonts w:hint="default" w:ascii="Times New Roman" w:hAnsi="Times New Roman"/>
                <w:color w:val="000000" w:themeColor="text1"/>
                <w14:textFill>
                  <w14:solidFill>
                    <w14:schemeClr w14:val="tx1"/>
                  </w14:solidFill>
                </w14:textFill>
              </w:rPr>
              <w:t xml:space="preserve">表1-9 </w:t>
            </w:r>
            <w:r>
              <w:rPr>
                <w:rFonts w:hint="eastAsia" w:ascii="Times New Roman" w:hAnsi="Times New Roman"/>
                <w:color w:val="000000" w:themeColor="text1"/>
                <w:lang w:val="en-US" w:eastAsia="zh-CN"/>
                <w14:textFill>
                  <w14:solidFill>
                    <w14:schemeClr w14:val="tx1"/>
                  </w14:solidFill>
                </w14:textFill>
              </w:rPr>
              <w:t xml:space="preserve"> </w:t>
            </w:r>
            <w:r>
              <w:rPr>
                <w:rFonts w:hint="default" w:ascii="Times New Roman" w:hAnsi="Times New Roman"/>
                <w:color w:val="000000" w:themeColor="text1"/>
                <w14:textFill>
                  <w14:solidFill>
                    <w14:schemeClr w14:val="tx1"/>
                  </w14:solidFill>
                </w14:textFill>
              </w:rPr>
              <w:t>主要经济技术指标</w:t>
            </w:r>
            <w:r>
              <w:rPr>
                <w:rFonts w:hint="eastAsia" w:ascii="Times New Roman" w:hAnsi="Times New Roman"/>
                <w:color w:val="000000" w:themeColor="text1"/>
                <w:lang w:val="en-US" w:eastAsia="zh-CN"/>
                <w14:textFill>
                  <w14:solidFill>
                    <w14:schemeClr w14:val="tx1"/>
                  </w14:solidFill>
                </w14:textFill>
              </w:rPr>
              <w:t>一览表</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591"/>
              <w:gridCol w:w="248"/>
              <w:gridCol w:w="2098"/>
              <w:gridCol w:w="958"/>
              <w:gridCol w:w="2341"/>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序号</w:t>
                  </w:r>
                </w:p>
              </w:tc>
              <w:tc>
                <w:tcPr>
                  <w:tcW w:w="1799" w:type="pct"/>
                  <w:gridSpan w:val="3"/>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名     称</w:t>
                  </w:r>
                </w:p>
              </w:tc>
              <w:tc>
                <w:tcPr>
                  <w:tcW w:w="587"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单位</w:t>
                  </w:r>
                </w:p>
              </w:tc>
              <w:tc>
                <w:tcPr>
                  <w:tcW w:w="1434"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数量</w:t>
                  </w:r>
                </w:p>
              </w:tc>
              <w:tc>
                <w:tcPr>
                  <w:tcW w:w="782"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b/>
                      <w:bCs/>
                      <w:snapToGrid w:val="0"/>
                      <w:color w:val="000000" w:themeColor="text1"/>
                      <w14:textFill>
                        <w14:solidFill>
                          <w14:schemeClr w14:val="tx1"/>
                        </w14:solidFill>
                      </w14:textFill>
                    </w:rPr>
                  </w:pPr>
                  <w:r>
                    <w:rPr>
                      <w:rFonts w:ascii="Times New Roman" w:hAnsi="Times New Roman"/>
                      <w:b/>
                      <w:bCs/>
                      <w:snapToGrid w:val="0"/>
                      <w:color w:val="000000" w:themeColor="text1"/>
                      <w14:textFill>
                        <w14:solidFill>
                          <w14:schemeClr w14:val="tx1"/>
                        </w14:solidFill>
                      </w14:textFill>
                    </w:rPr>
                    <w:t>一</w:t>
                  </w:r>
                </w:p>
              </w:tc>
              <w:tc>
                <w:tcPr>
                  <w:tcW w:w="4603" w:type="pct"/>
                  <w:gridSpan w:val="6"/>
                  <w:tcBorders>
                    <w:tl2br w:val="nil"/>
                    <w:tr2bl w:val="nil"/>
                  </w:tcBorders>
                  <w:vAlign w:val="center"/>
                </w:tcPr>
                <w:p>
                  <w:pPr>
                    <w:pStyle w:val="9"/>
                    <w:spacing w:line="240" w:lineRule="exact"/>
                    <w:jc w:val="left"/>
                    <w:rPr>
                      <w:rFonts w:ascii="Times New Roman" w:hAnsi="Times New Roman"/>
                      <w:snapToGrid w:val="0"/>
                      <w:color w:val="000000" w:themeColor="text1"/>
                      <w14:textFill>
                        <w14:solidFill>
                          <w14:schemeClr w14:val="tx1"/>
                        </w14:solidFill>
                      </w14:textFill>
                    </w:rPr>
                  </w:pPr>
                  <w:r>
                    <w:rPr>
                      <w:rFonts w:ascii="Times New Roman" w:hAnsi="Times New Roman"/>
                      <w:b/>
                      <w:bCs/>
                      <w:snapToGrid w:val="0"/>
                      <w:color w:val="000000" w:themeColor="text1"/>
                      <w14:textFill>
                        <w14:solidFill>
                          <w14:schemeClr w14:val="tx1"/>
                        </w14:solidFill>
                      </w14:textFill>
                    </w:rPr>
                    <w:t>风力发电场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p>
              </w:tc>
              <w:tc>
                <w:tcPr>
                  <w:tcW w:w="1799" w:type="pct"/>
                  <w:gridSpan w:val="3"/>
                  <w:tcBorders>
                    <w:tl2br w:val="nil"/>
                    <w:tr2bl w:val="nil"/>
                  </w:tcBorders>
                  <w:vAlign w:val="center"/>
                </w:tcPr>
                <w:p>
                  <w:pPr>
                    <w:pStyle w:val="9"/>
                    <w:spacing w:line="240" w:lineRule="exact"/>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海拔高度</w:t>
                  </w:r>
                </w:p>
              </w:tc>
              <w:tc>
                <w:tcPr>
                  <w:tcW w:w="587"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m</w:t>
                  </w:r>
                </w:p>
              </w:tc>
              <w:tc>
                <w:tcPr>
                  <w:tcW w:w="1434" w:type="pct"/>
                  <w:tcBorders>
                    <w:tl2br w:val="nil"/>
                    <w:tr2bl w:val="nil"/>
                  </w:tcBorders>
                  <w:vAlign w:val="top"/>
                </w:tcPr>
                <w:p>
                  <w:pPr>
                    <w:pStyle w:val="41"/>
                    <w:spacing w:before="49"/>
                    <w:jc w:val="center"/>
                    <w:rPr>
                      <w:rFonts w:hint="default" w:ascii="Times New Roman" w:hAnsi="Times New Roman" w:cs="Times New Roman"/>
                      <w:snapToGrid w:val="0"/>
                      <w:color w:val="000000" w:themeColor="text1"/>
                      <w14:textFill>
                        <w14:solidFill>
                          <w14:schemeClr w14:val="tx1"/>
                        </w14:solidFill>
                      </w14:textFill>
                    </w:rPr>
                  </w:pPr>
                  <w:r>
                    <w:rPr>
                      <w:rFonts w:hint="eastAsia" w:ascii="Times New Roman" w:hAnsi="Times New Roman" w:eastAsia="宋体" w:cs="Times New Roman"/>
                      <w:color w:val="000000" w:themeColor="text1"/>
                      <w:sz w:val="21"/>
                      <w:lang w:val="en-US" w:eastAsia="zh-CN"/>
                      <w14:textFill>
                        <w14:solidFill>
                          <w14:schemeClr w14:val="tx1"/>
                        </w14:solidFill>
                      </w14:textFill>
                    </w:rPr>
                    <w:t>715</w:t>
                  </w:r>
                  <w:r>
                    <w:rPr>
                      <w:rFonts w:hint="default" w:ascii="Times New Roman" w:hAnsi="Times New Roman" w:eastAsia="Times New Roman" w:cs="Times New Roman"/>
                      <w:color w:val="000000" w:themeColor="text1"/>
                      <w:sz w:val="21"/>
                      <w14:textFill>
                        <w14:solidFill>
                          <w14:schemeClr w14:val="tx1"/>
                        </w14:solidFill>
                      </w14:textFill>
                    </w:rPr>
                    <w:t>m</w:t>
                  </w:r>
                  <w:r>
                    <w:rPr>
                      <w:rFonts w:hint="default" w:ascii="Times New Roman" w:hAnsi="Times New Roman" w:cs="Times New Roman"/>
                      <w:color w:val="000000" w:themeColor="text1"/>
                      <w:sz w:val="21"/>
                      <w14:textFill>
                        <w14:solidFill>
                          <w14:schemeClr w14:val="tx1"/>
                        </w14:solidFill>
                      </w14:textFill>
                    </w:rPr>
                    <w:t>～</w:t>
                  </w:r>
                  <w:r>
                    <w:rPr>
                      <w:rFonts w:hint="eastAsia" w:ascii="Times New Roman" w:hAnsi="Times New Roman" w:eastAsia="宋体" w:cs="Times New Roman"/>
                      <w:color w:val="000000" w:themeColor="text1"/>
                      <w:sz w:val="21"/>
                      <w:lang w:val="en-US" w:eastAsia="zh-CN"/>
                      <w14:textFill>
                        <w14:solidFill>
                          <w14:schemeClr w14:val="tx1"/>
                        </w14:solidFill>
                      </w14:textFill>
                    </w:rPr>
                    <w:t>818</w:t>
                  </w:r>
                  <w:r>
                    <w:rPr>
                      <w:rFonts w:hint="default" w:ascii="Times New Roman" w:hAnsi="Times New Roman" w:eastAsia="Times New Roman" w:cs="Times New Roman"/>
                      <w:color w:val="000000" w:themeColor="text1"/>
                      <w:sz w:val="21"/>
                      <w14:textFill>
                        <w14:solidFill>
                          <w14:schemeClr w14:val="tx1"/>
                        </w14:solidFill>
                      </w14:textFill>
                    </w:rPr>
                    <w:t>m</w:t>
                  </w:r>
                </w:p>
              </w:tc>
              <w:tc>
                <w:tcPr>
                  <w:tcW w:w="782"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p>
              </w:tc>
              <w:tc>
                <w:tcPr>
                  <w:tcW w:w="1799" w:type="pct"/>
                  <w:gridSpan w:val="3"/>
                  <w:tcBorders>
                    <w:tl2br w:val="nil"/>
                    <w:tr2bl w:val="nil"/>
                  </w:tcBorders>
                  <w:vAlign w:val="center"/>
                </w:tcPr>
                <w:p>
                  <w:pPr>
                    <w:pStyle w:val="9"/>
                    <w:spacing w:line="240" w:lineRule="exact"/>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经度</w:t>
                  </w:r>
                </w:p>
              </w:tc>
              <w:tc>
                <w:tcPr>
                  <w:tcW w:w="587"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w:t>
                  </w:r>
                </w:p>
              </w:tc>
              <w:tc>
                <w:tcPr>
                  <w:tcW w:w="1434" w:type="pct"/>
                  <w:tcBorders>
                    <w:tl2br w:val="nil"/>
                    <w:tr2bl w:val="nil"/>
                  </w:tcBorders>
                  <w:vAlign w:val="top"/>
                </w:tcPr>
                <w:p>
                  <w:pPr>
                    <w:pStyle w:val="41"/>
                    <w:spacing w:before="14" w:line="252" w:lineRule="exact"/>
                    <w:ind w:right="145" w:rightChars="0"/>
                    <w:jc w:val="center"/>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109°48'36"E～109°54'5"</w:t>
                  </w:r>
                  <w:r>
                    <w:rPr>
                      <w:rFonts w:hint="eastAsia" w:ascii="Times New Roman" w:hAnsi="Times New Roman" w:cs="Times New Roman"/>
                      <w:color w:val="000000" w:themeColor="text1"/>
                      <w:lang w:val="en-US" w:eastAsia="zh-CN"/>
                      <w14:textFill>
                        <w14:solidFill>
                          <w14:schemeClr w14:val="tx1"/>
                        </w14:solidFill>
                      </w14:textFill>
                    </w:rPr>
                    <w:t>E</w:t>
                  </w:r>
                </w:p>
              </w:tc>
              <w:tc>
                <w:tcPr>
                  <w:tcW w:w="782"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p>
              </w:tc>
              <w:tc>
                <w:tcPr>
                  <w:tcW w:w="1799" w:type="pct"/>
                  <w:gridSpan w:val="3"/>
                  <w:tcBorders>
                    <w:tl2br w:val="nil"/>
                    <w:tr2bl w:val="nil"/>
                  </w:tcBorders>
                  <w:vAlign w:val="center"/>
                </w:tcPr>
                <w:p>
                  <w:pPr>
                    <w:pStyle w:val="9"/>
                    <w:spacing w:line="240" w:lineRule="exact"/>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纬度</w:t>
                  </w:r>
                </w:p>
              </w:tc>
              <w:tc>
                <w:tcPr>
                  <w:tcW w:w="587"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w:t>
                  </w:r>
                </w:p>
              </w:tc>
              <w:tc>
                <w:tcPr>
                  <w:tcW w:w="1434" w:type="pct"/>
                  <w:tcBorders>
                    <w:tl2br w:val="nil"/>
                    <w:tr2bl w:val="nil"/>
                  </w:tcBorders>
                  <w:vAlign w:val="top"/>
                </w:tcPr>
                <w:p>
                  <w:pPr>
                    <w:pStyle w:val="41"/>
                    <w:spacing w:before="10" w:line="252" w:lineRule="exact"/>
                    <w:ind w:left="224" w:leftChars="0" w:right="217" w:rightChars="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35°13'48"N～35°57'5"N</w:t>
                  </w:r>
                </w:p>
              </w:tc>
              <w:tc>
                <w:tcPr>
                  <w:tcW w:w="782"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b/>
                      <w:bCs/>
                      <w:snapToGrid w:val="0"/>
                      <w:color w:val="000000" w:themeColor="text1"/>
                      <w14:textFill>
                        <w14:solidFill>
                          <w14:schemeClr w14:val="tx1"/>
                        </w14:solidFill>
                      </w14:textFill>
                    </w:rPr>
                  </w:pPr>
                  <w:r>
                    <w:rPr>
                      <w:rFonts w:ascii="Times New Roman" w:hAnsi="Times New Roman"/>
                      <w:b/>
                      <w:bCs/>
                      <w:snapToGrid w:val="0"/>
                      <w:color w:val="000000" w:themeColor="text1"/>
                      <w14:textFill>
                        <w14:solidFill>
                          <w14:schemeClr w14:val="tx1"/>
                        </w14:solidFill>
                      </w14:textFill>
                    </w:rPr>
                    <w:t>二</w:t>
                  </w:r>
                </w:p>
              </w:tc>
              <w:tc>
                <w:tcPr>
                  <w:tcW w:w="4603" w:type="pct"/>
                  <w:gridSpan w:val="6"/>
                  <w:tcBorders>
                    <w:tl2br w:val="nil"/>
                    <w:tr2bl w:val="nil"/>
                  </w:tcBorders>
                  <w:vAlign w:val="center"/>
                </w:tcPr>
                <w:p>
                  <w:pPr>
                    <w:pStyle w:val="9"/>
                    <w:spacing w:line="240" w:lineRule="exact"/>
                    <w:jc w:val="left"/>
                    <w:rPr>
                      <w:rFonts w:ascii="Times New Roman" w:hAnsi="Times New Roman"/>
                      <w:snapToGrid w:val="0"/>
                      <w:color w:val="000000" w:themeColor="text1"/>
                      <w14:textFill>
                        <w14:solidFill>
                          <w14:schemeClr w14:val="tx1"/>
                        </w14:solidFill>
                      </w14:textFill>
                    </w:rPr>
                  </w:pPr>
                  <w:r>
                    <w:rPr>
                      <w:rFonts w:ascii="Times New Roman" w:hAnsi="Times New Roman"/>
                      <w:b/>
                      <w:bCs/>
                      <w:snapToGrid w:val="0"/>
                      <w:color w:val="000000" w:themeColor="text1"/>
                      <w14:textFill>
                        <w14:solidFill>
                          <w14:schemeClr w14:val="tx1"/>
                        </w14:solidFill>
                      </w14:textFill>
                    </w:rPr>
                    <w:t>风资源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1</w:t>
                  </w:r>
                </w:p>
              </w:tc>
              <w:tc>
                <w:tcPr>
                  <w:tcW w:w="1799" w:type="pct"/>
                  <w:gridSpan w:val="3"/>
                  <w:tcBorders>
                    <w:tl2br w:val="nil"/>
                    <w:tr2bl w:val="nil"/>
                  </w:tcBorders>
                  <w:vAlign w:val="center"/>
                </w:tcPr>
                <w:p>
                  <w:pPr>
                    <w:pStyle w:val="9"/>
                    <w:spacing w:line="240" w:lineRule="exact"/>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年平均风速</w:t>
                  </w:r>
                </w:p>
              </w:tc>
              <w:tc>
                <w:tcPr>
                  <w:tcW w:w="587"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m/s</w:t>
                  </w:r>
                </w:p>
              </w:tc>
              <w:tc>
                <w:tcPr>
                  <w:tcW w:w="1434" w:type="pct"/>
                  <w:tcBorders>
                    <w:tl2br w:val="nil"/>
                    <w:tr2bl w:val="nil"/>
                  </w:tcBorders>
                  <w:vAlign w:val="center"/>
                </w:tcPr>
                <w:p>
                  <w:pPr>
                    <w:widowControl/>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5.29</w:t>
                  </w:r>
                </w:p>
              </w:tc>
              <w:tc>
                <w:tcPr>
                  <w:tcW w:w="782" w:type="pct"/>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2</w:t>
                  </w:r>
                  <w:r>
                    <w:rPr>
                      <w:rFonts w:ascii="Times New Roman" w:hAnsi="Times New Roman"/>
                      <w:color w:val="000000" w:themeColor="text1"/>
                      <w:szCs w:val="21"/>
                      <w14:textFill>
                        <w14:solidFill>
                          <w14:schemeClr w14:val="tx1"/>
                        </w14:solidFill>
                      </w14:textFill>
                    </w:rPr>
                    <w:t>0m高度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2</w:t>
                  </w:r>
                </w:p>
              </w:tc>
              <w:tc>
                <w:tcPr>
                  <w:tcW w:w="1799" w:type="pct"/>
                  <w:gridSpan w:val="3"/>
                  <w:tcBorders>
                    <w:tl2br w:val="nil"/>
                    <w:tr2bl w:val="nil"/>
                  </w:tcBorders>
                  <w:vAlign w:val="center"/>
                </w:tcPr>
                <w:p>
                  <w:pPr>
                    <w:pStyle w:val="9"/>
                    <w:spacing w:line="240" w:lineRule="exact"/>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风能密度</w:t>
                  </w:r>
                </w:p>
              </w:tc>
              <w:tc>
                <w:tcPr>
                  <w:tcW w:w="587"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W/m</w:t>
                  </w:r>
                  <w:r>
                    <w:rPr>
                      <w:rFonts w:ascii="Times New Roman" w:hAnsi="Times New Roman"/>
                      <w:snapToGrid w:val="0"/>
                      <w:color w:val="000000" w:themeColor="text1"/>
                      <w:vertAlign w:val="superscript"/>
                      <w14:textFill>
                        <w14:solidFill>
                          <w14:schemeClr w14:val="tx1"/>
                        </w14:solidFill>
                      </w14:textFill>
                    </w:rPr>
                    <w:t>2</w:t>
                  </w:r>
                </w:p>
              </w:tc>
              <w:tc>
                <w:tcPr>
                  <w:tcW w:w="1434" w:type="pct"/>
                  <w:tcBorders>
                    <w:tl2br w:val="nil"/>
                    <w:tr2bl w:val="nil"/>
                  </w:tcBorders>
                  <w:vAlign w:val="center"/>
                </w:tcPr>
                <w:p>
                  <w:pPr>
                    <w:widowControl/>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186</w:t>
                  </w:r>
                </w:p>
              </w:tc>
              <w:tc>
                <w:tcPr>
                  <w:tcW w:w="782" w:type="pct"/>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2</w:t>
                  </w:r>
                  <w:r>
                    <w:rPr>
                      <w:rFonts w:ascii="Times New Roman" w:hAnsi="Times New Roman"/>
                      <w:color w:val="000000" w:themeColor="text1"/>
                      <w:szCs w:val="21"/>
                      <w14:textFill>
                        <w14:solidFill>
                          <w14:schemeClr w14:val="tx1"/>
                        </w14:solidFill>
                      </w14:textFill>
                    </w:rPr>
                    <w:t>0m高度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3</w:t>
                  </w:r>
                </w:p>
              </w:tc>
              <w:tc>
                <w:tcPr>
                  <w:tcW w:w="1799" w:type="pct"/>
                  <w:gridSpan w:val="3"/>
                  <w:tcBorders>
                    <w:tl2br w:val="nil"/>
                    <w:tr2bl w:val="nil"/>
                  </w:tcBorders>
                  <w:vAlign w:val="center"/>
                </w:tcPr>
                <w:p>
                  <w:pPr>
                    <w:pStyle w:val="9"/>
                    <w:spacing w:line="240" w:lineRule="exact"/>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盛行风向</w:t>
                  </w:r>
                </w:p>
              </w:tc>
              <w:tc>
                <w:tcPr>
                  <w:tcW w:w="587"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w:t>
                  </w:r>
                </w:p>
              </w:tc>
              <w:tc>
                <w:tcPr>
                  <w:tcW w:w="1434"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ENE</w:t>
                  </w:r>
                </w:p>
              </w:tc>
              <w:tc>
                <w:tcPr>
                  <w:tcW w:w="782" w:type="pct"/>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b/>
                      <w:bCs/>
                      <w:snapToGrid w:val="0"/>
                      <w:color w:val="000000" w:themeColor="text1"/>
                      <w14:textFill>
                        <w14:solidFill>
                          <w14:schemeClr w14:val="tx1"/>
                        </w14:solidFill>
                      </w14:textFill>
                    </w:rPr>
                  </w:pPr>
                  <w:r>
                    <w:rPr>
                      <w:rFonts w:ascii="Times New Roman" w:hAnsi="Times New Roman"/>
                      <w:b/>
                      <w:bCs/>
                      <w:snapToGrid w:val="0"/>
                      <w:color w:val="000000" w:themeColor="text1"/>
                      <w14:textFill>
                        <w14:solidFill>
                          <w14:schemeClr w14:val="tx1"/>
                        </w14:solidFill>
                      </w14:textFill>
                    </w:rPr>
                    <w:t>三</w:t>
                  </w:r>
                </w:p>
              </w:tc>
              <w:tc>
                <w:tcPr>
                  <w:tcW w:w="4603" w:type="pct"/>
                  <w:gridSpan w:val="6"/>
                  <w:tcBorders>
                    <w:tl2br w:val="nil"/>
                    <w:tr2bl w:val="nil"/>
                  </w:tcBorders>
                  <w:vAlign w:val="center"/>
                </w:tcPr>
                <w:p>
                  <w:pPr>
                    <w:pStyle w:val="9"/>
                    <w:spacing w:line="240" w:lineRule="exact"/>
                    <w:jc w:val="left"/>
                    <w:rPr>
                      <w:rFonts w:ascii="Times New Roman" w:hAnsi="Times New Roman"/>
                      <w:snapToGrid w:val="0"/>
                      <w:color w:val="000000" w:themeColor="text1"/>
                      <w14:textFill>
                        <w14:solidFill>
                          <w14:schemeClr w14:val="tx1"/>
                        </w14:solidFill>
                      </w14:textFill>
                    </w:rPr>
                  </w:pPr>
                  <w:r>
                    <w:rPr>
                      <w:rFonts w:ascii="Times New Roman" w:hAnsi="Times New Roman"/>
                      <w:b/>
                      <w:bCs/>
                      <w:snapToGrid w:val="0"/>
                      <w:color w:val="000000" w:themeColor="text1"/>
                      <w14:textFill>
                        <w14:solidFill>
                          <w14:schemeClr w14:val="tx1"/>
                        </w14:solidFill>
                      </w14:textFill>
                    </w:rPr>
                    <w:t>主要设备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b/>
                      <w:bCs/>
                      <w:snapToGrid w:val="0"/>
                      <w:color w:val="000000" w:themeColor="text1"/>
                      <w14:textFill>
                        <w14:solidFill>
                          <w14:schemeClr w14:val="tx1"/>
                        </w14:solidFill>
                      </w14:textFill>
                    </w:rPr>
                    <w:t>1</w:t>
                  </w:r>
                </w:p>
              </w:tc>
              <w:tc>
                <w:tcPr>
                  <w:tcW w:w="4603" w:type="pct"/>
                  <w:gridSpan w:val="6"/>
                  <w:tcBorders>
                    <w:tl2br w:val="nil"/>
                    <w:tr2bl w:val="nil"/>
                  </w:tcBorders>
                  <w:vAlign w:val="center"/>
                </w:tcPr>
                <w:p>
                  <w:pPr>
                    <w:pStyle w:val="9"/>
                    <w:spacing w:line="240" w:lineRule="exact"/>
                    <w:jc w:val="left"/>
                    <w:rPr>
                      <w:rFonts w:ascii="Times New Roman" w:hAnsi="Times New Roman"/>
                      <w:snapToGrid w:val="0"/>
                      <w:color w:val="000000" w:themeColor="text1"/>
                      <w14:textFill>
                        <w14:solidFill>
                          <w14:schemeClr w14:val="tx1"/>
                        </w14:solidFill>
                      </w14:textFill>
                    </w:rPr>
                  </w:pPr>
                  <w:r>
                    <w:rPr>
                      <w:rFonts w:ascii="Times New Roman" w:hAnsi="Times New Roman"/>
                      <w:b/>
                      <w:bCs/>
                      <w:snapToGrid w:val="0"/>
                      <w:color w:val="000000" w:themeColor="text1"/>
                      <w14:textFill>
                        <w14:solidFill>
                          <w14:schemeClr w14:val="tx1"/>
                        </w14:solidFill>
                      </w14:textFill>
                    </w:rPr>
                    <w:t>风力发电机组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p>
              </w:tc>
              <w:tc>
                <w:tcPr>
                  <w:tcW w:w="1799" w:type="pct"/>
                  <w:gridSpan w:val="3"/>
                  <w:tcBorders>
                    <w:tl2br w:val="nil"/>
                    <w:tr2bl w:val="nil"/>
                  </w:tcBorders>
                  <w:vAlign w:val="center"/>
                </w:tcPr>
                <w:p>
                  <w:pPr>
                    <w:pStyle w:val="9"/>
                    <w:spacing w:line="240" w:lineRule="exact"/>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数量</w:t>
                  </w:r>
                </w:p>
              </w:tc>
              <w:tc>
                <w:tcPr>
                  <w:tcW w:w="587"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台</w:t>
                  </w:r>
                </w:p>
              </w:tc>
              <w:tc>
                <w:tcPr>
                  <w:tcW w:w="1434" w:type="pct"/>
                  <w:tcBorders>
                    <w:tl2br w:val="nil"/>
                    <w:tr2bl w:val="nil"/>
                  </w:tcBorders>
                  <w:vAlign w:val="center"/>
                </w:tcPr>
                <w:p>
                  <w:pPr>
                    <w:pStyle w:val="9"/>
                    <w:spacing w:line="240" w:lineRule="exact"/>
                    <w:jc w:val="center"/>
                    <w:rPr>
                      <w:rFonts w:hint="default" w:ascii="Times New Roman" w:hAnsi="Times New Roman" w:eastAsia="宋体"/>
                      <w:snapToGrid w:val="0"/>
                      <w:color w:val="000000" w:themeColor="text1"/>
                      <w:lang w:val="en-US" w:eastAsia="zh-CN"/>
                      <w14:textFill>
                        <w14:solidFill>
                          <w14:schemeClr w14:val="tx1"/>
                        </w14:solidFill>
                      </w14:textFill>
                    </w:rPr>
                  </w:pPr>
                  <w:r>
                    <w:rPr>
                      <w:rFonts w:hint="eastAsia" w:ascii="Times New Roman" w:hAnsi="Times New Roman"/>
                      <w:snapToGrid w:val="0"/>
                      <w:color w:val="000000" w:themeColor="text1"/>
                      <w:lang w:val="en-US" w:eastAsia="zh-CN"/>
                      <w14:textFill>
                        <w14:solidFill>
                          <w14:schemeClr w14:val="tx1"/>
                        </w14:solidFill>
                      </w14:textFill>
                    </w:rPr>
                    <w:t>8</w:t>
                  </w:r>
                </w:p>
              </w:tc>
              <w:tc>
                <w:tcPr>
                  <w:tcW w:w="782"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p>
              </w:tc>
              <w:tc>
                <w:tcPr>
                  <w:tcW w:w="1799" w:type="pct"/>
                  <w:gridSpan w:val="3"/>
                  <w:tcBorders>
                    <w:tl2br w:val="nil"/>
                    <w:tr2bl w:val="nil"/>
                  </w:tcBorders>
                  <w:vAlign w:val="center"/>
                </w:tcPr>
                <w:p>
                  <w:pPr>
                    <w:pStyle w:val="9"/>
                    <w:spacing w:line="240" w:lineRule="exact"/>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额定功率</w:t>
                  </w:r>
                </w:p>
              </w:tc>
              <w:tc>
                <w:tcPr>
                  <w:tcW w:w="587"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kW</w:t>
                  </w:r>
                </w:p>
              </w:tc>
              <w:tc>
                <w:tcPr>
                  <w:tcW w:w="1434" w:type="pct"/>
                  <w:tcBorders>
                    <w:tl2br w:val="nil"/>
                    <w:tr2bl w:val="nil"/>
                  </w:tcBorders>
                  <w:vAlign w:val="center"/>
                </w:tcPr>
                <w:p>
                  <w:pPr>
                    <w:pStyle w:val="9"/>
                    <w:spacing w:line="240" w:lineRule="exact"/>
                    <w:jc w:val="center"/>
                    <w:rPr>
                      <w:rFonts w:hint="default" w:ascii="Times New Roman" w:hAnsi="Times New Roman" w:eastAsia="宋体"/>
                      <w:snapToGrid w:val="0"/>
                      <w:color w:val="000000" w:themeColor="text1"/>
                      <w:lang w:val="en-US" w:eastAsia="zh-CN"/>
                      <w14:textFill>
                        <w14:solidFill>
                          <w14:schemeClr w14:val="tx1"/>
                        </w14:solidFill>
                      </w14:textFill>
                    </w:rPr>
                  </w:pPr>
                  <w:r>
                    <w:rPr>
                      <w:rFonts w:hint="eastAsia" w:ascii="Times New Roman" w:hAnsi="Times New Roman"/>
                      <w:snapToGrid w:val="0"/>
                      <w:color w:val="000000" w:themeColor="text1"/>
                      <w:lang w:val="en-US" w:eastAsia="zh-CN"/>
                      <w14:textFill>
                        <w14:solidFill>
                          <w14:schemeClr w14:val="tx1"/>
                        </w14:solidFill>
                      </w14:textFill>
                    </w:rPr>
                    <w:t>2500</w:t>
                  </w:r>
                </w:p>
              </w:tc>
              <w:tc>
                <w:tcPr>
                  <w:tcW w:w="782"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p>
              </w:tc>
              <w:tc>
                <w:tcPr>
                  <w:tcW w:w="1799" w:type="pct"/>
                  <w:gridSpan w:val="3"/>
                  <w:tcBorders>
                    <w:tl2br w:val="nil"/>
                    <w:tr2bl w:val="nil"/>
                  </w:tcBorders>
                  <w:vAlign w:val="center"/>
                </w:tcPr>
                <w:p>
                  <w:pPr>
                    <w:pStyle w:val="9"/>
                    <w:spacing w:line="240" w:lineRule="exact"/>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叶片数</w:t>
                  </w:r>
                </w:p>
              </w:tc>
              <w:tc>
                <w:tcPr>
                  <w:tcW w:w="587"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个</w:t>
                  </w:r>
                </w:p>
              </w:tc>
              <w:tc>
                <w:tcPr>
                  <w:tcW w:w="1434" w:type="pct"/>
                  <w:tcBorders>
                    <w:tl2br w:val="nil"/>
                    <w:tr2bl w:val="nil"/>
                  </w:tcBorders>
                  <w:vAlign w:val="center"/>
                </w:tcPr>
                <w:p>
                  <w:pPr>
                    <w:pStyle w:val="9"/>
                    <w:spacing w:line="240" w:lineRule="exact"/>
                    <w:jc w:val="center"/>
                    <w:rPr>
                      <w:rFonts w:hint="eastAsia" w:ascii="Times New Roman" w:hAnsi="Times New Roman" w:eastAsia="宋体"/>
                      <w:snapToGrid w:val="0"/>
                      <w:color w:val="000000" w:themeColor="text1"/>
                      <w:lang w:val="en-US" w:eastAsia="zh-CN"/>
                      <w14:textFill>
                        <w14:solidFill>
                          <w14:schemeClr w14:val="tx1"/>
                        </w14:solidFill>
                      </w14:textFill>
                    </w:rPr>
                  </w:pPr>
                  <w:r>
                    <w:rPr>
                      <w:rFonts w:hint="eastAsia" w:ascii="Times New Roman" w:hAnsi="Times New Roman"/>
                      <w:snapToGrid w:val="0"/>
                      <w:color w:val="000000" w:themeColor="text1"/>
                      <w:lang w:val="en-US" w:eastAsia="zh-CN"/>
                      <w14:textFill>
                        <w14:solidFill>
                          <w14:schemeClr w14:val="tx1"/>
                        </w14:solidFill>
                      </w14:textFill>
                    </w:rPr>
                    <w:t>3</w:t>
                  </w:r>
                </w:p>
              </w:tc>
              <w:tc>
                <w:tcPr>
                  <w:tcW w:w="782"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p>
              </w:tc>
              <w:tc>
                <w:tcPr>
                  <w:tcW w:w="1799" w:type="pct"/>
                  <w:gridSpan w:val="3"/>
                  <w:tcBorders>
                    <w:tl2br w:val="nil"/>
                    <w:tr2bl w:val="nil"/>
                  </w:tcBorders>
                  <w:vAlign w:val="center"/>
                </w:tcPr>
                <w:p>
                  <w:pPr>
                    <w:pStyle w:val="9"/>
                    <w:spacing w:line="240" w:lineRule="exact"/>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风轮直径</w:t>
                  </w:r>
                </w:p>
              </w:tc>
              <w:tc>
                <w:tcPr>
                  <w:tcW w:w="587"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m</w:t>
                  </w:r>
                </w:p>
              </w:tc>
              <w:tc>
                <w:tcPr>
                  <w:tcW w:w="1434" w:type="pct"/>
                  <w:tcBorders>
                    <w:tl2br w:val="nil"/>
                    <w:tr2bl w:val="nil"/>
                  </w:tcBorders>
                  <w:vAlign w:val="center"/>
                </w:tcPr>
                <w:p>
                  <w:pPr>
                    <w:pStyle w:val="9"/>
                    <w:spacing w:line="240" w:lineRule="exact"/>
                    <w:jc w:val="center"/>
                    <w:rPr>
                      <w:rFonts w:hint="default" w:ascii="Times New Roman" w:hAnsi="Times New Roman" w:eastAsia="宋体"/>
                      <w:snapToGrid w:val="0"/>
                      <w:color w:val="000000" w:themeColor="text1"/>
                      <w:lang w:val="en-US" w:eastAsia="zh-CN"/>
                      <w14:textFill>
                        <w14:solidFill>
                          <w14:schemeClr w14:val="tx1"/>
                        </w14:solidFill>
                      </w14:textFill>
                    </w:rPr>
                  </w:pPr>
                  <w:r>
                    <w:rPr>
                      <w:rFonts w:hint="eastAsia" w:ascii="Times New Roman" w:hAnsi="Times New Roman"/>
                      <w:snapToGrid w:val="0"/>
                      <w:color w:val="000000" w:themeColor="text1"/>
                      <w:lang w:val="en-US" w:eastAsia="zh-CN"/>
                      <w14:textFill>
                        <w14:solidFill>
                          <w14:schemeClr w14:val="tx1"/>
                        </w14:solidFill>
                      </w14:textFill>
                    </w:rPr>
                    <w:t>147</w:t>
                  </w:r>
                </w:p>
              </w:tc>
              <w:tc>
                <w:tcPr>
                  <w:tcW w:w="782"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p>
              </w:tc>
              <w:tc>
                <w:tcPr>
                  <w:tcW w:w="1799" w:type="pct"/>
                  <w:gridSpan w:val="3"/>
                  <w:tcBorders>
                    <w:tl2br w:val="nil"/>
                    <w:tr2bl w:val="nil"/>
                  </w:tcBorders>
                  <w:vAlign w:val="center"/>
                </w:tcPr>
                <w:p>
                  <w:pPr>
                    <w:pStyle w:val="9"/>
                    <w:spacing w:line="240" w:lineRule="exact"/>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扫风面积</w:t>
                  </w:r>
                </w:p>
              </w:tc>
              <w:tc>
                <w:tcPr>
                  <w:tcW w:w="587"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m</w:t>
                  </w:r>
                  <w:r>
                    <w:rPr>
                      <w:rFonts w:ascii="Times New Roman" w:hAnsi="Times New Roman"/>
                      <w:snapToGrid w:val="0"/>
                      <w:color w:val="000000" w:themeColor="text1"/>
                      <w:vertAlign w:val="superscript"/>
                      <w14:textFill>
                        <w14:solidFill>
                          <w14:schemeClr w14:val="tx1"/>
                        </w14:solidFill>
                      </w14:textFill>
                    </w:rPr>
                    <w:t>2</w:t>
                  </w:r>
                </w:p>
              </w:tc>
              <w:tc>
                <w:tcPr>
                  <w:tcW w:w="1434" w:type="pct"/>
                  <w:tcBorders>
                    <w:tl2br w:val="nil"/>
                    <w:tr2bl w:val="nil"/>
                  </w:tcBorders>
                  <w:vAlign w:val="center"/>
                </w:tcPr>
                <w:p>
                  <w:pPr>
                    <w:pStyle w:val="9"/>
                    <w:spacing w:line="240" w:lineRule="exact"/>
                    <w:jc w:val="center"/>
                    <w:rPr>
                      <w:rFonts w:hint="default" w:ascii="Times New Roman" w:hAnsi="Times New Roman" w:eastAsia="宋体"/>
                      <w:snapToGrid w:val="0"/>
                      <w:color w:val="000000" w:themeColor="text1"/>
                      <w:lang w:val="en-US" w:eastAsia="zh-CN"/>
                      <w14:textFill>
                        <w14:solidFill>
                          <w14:schemeClr w14:val="tx1"/>
                        </w14:solidFill>
                      </w14:textFill>
                    </w:rPr>
                  </w:pPr>
                  <w:r>
                    <w:rPr>
                      <w:rFonts w:hint="eastAsia" w:ascii="Times New Roman" w:hAnsi="Times New Roman"/>
                      <w:snapToGrid w:val="0"/>
                      <w:color w:val="000000" w:themeColor="text1"/>
                      <w:lang w:val="en-US" w:eastAsia="zh-CN"/>
                      <w14:textFill>
                        <w14:solidFill>
                          <w14:schemeClr w14:val="tx1"/>
                        </w14:solidFill>
                      </w14:textFill>
                    </w:rPr>
                    <w:t>16972</w:t>
                  </w:r>
                </w:p>
              </w:tc>
              <w:tc>
                <w:tcPr>
                  <w:tcW w:w="782"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p>
              </w:tc>
              <w:tc>
                <w:tcPr>
                  <w:tcW w:w="1799" w:type="pct"/>
                  <w:gridSpan w:val="3"/>
                  <w:tcBorders>
                    <w:tl2br w:val="nil"/>
                    <w:tr2bl w:val="nil"/>
                  </w:tcBorders>
                  <w:vAlign w:val="center"/>
                </w:tcPr>
                <w:p>
                  <w:pPr>
                    <w:pStyle w:val="9"/>
                    <w:spacing w:line="240" w:lineRule="exact"/>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切入风速</w:t>
                  </w:r>
                </w:p>
              </w:tc>
              <w:tc>
                <w:tcPr>
                  <w:tcW w:w="587"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m/s</w:t>
                  </w:r>
                </w:p>
              </w:tc>
              <w:tc>
                <w:tcPr>
                  <w:tcW w:w="1434" w:type="pct"/>
                  <w:tcBorders>
                    <w:tl2br w:val="nil"/>
                    <w:tr2bl w:val="nil"/>
                  </w:tcBorders>
                  <w:vAlign w:val="center"/>
                </w:tcPr>
                <w:p>
                  <w:pPr>
                    <w:pStyle w:val="9"/>
                    <w:spacing w:line="240" w:lineRule="exact"/>
                    <w:jc w:val="center"/>
                    <w:rPr>
                      <w:rFonts w:hint="default" w:ascii="Times New Roman" w:hAnsi="Times New Roman" w:eastAsia="宋体"/>
                      <w:snapToGrid w:val="0"/>
                      <w:color w:val="000000" w:themeColor="text1"/>
                      <w:lang w:val="en-US" w:eastAsia="zh-CN"/>
                      <w14:textFill>
                        <w14:solidFill>
                          <w14:schemeClr w14:val="tx1"/>
                        </w14:solidFill>
                      </w14:textFill>
                    </w:rPr>
                  </w:pPr>
                  <w:r>
                    <w:rPr>
                      <w:rFonts w:hint="eastAsia" w:ascii="Times New Roman" w:hAnsi="Times New Roman"/>
                      <w:snapToGrid w:val="0"/>
                      <w:color w:val="000000" w:themeColor="text1"/>
                      <w:lang w:val="en-US" w:eastAsia="zh-CN"/>
                      <w14:textFill>
                        <w14:solidFill>
                          <w14:schemeClr w14:val="tx1"/>
                        </w14:solidFill>
                      </w14:textFill>
                    </w:rPr>
                    <w:t>2.5</w:t>
                  </w:r>
                </w:p>
              </w:tc>
              <w:tc>
                <w:tcPr>
                  <w:tcW w:w="782"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p>
              </w:tc>
              <w:tc>
                <w:tcPr>
                  <w:tcW w:w="1799" w:type="pct"/>
                  <w:gridSpan w:val="3"/>
                  <w:tcBorders>
                    <w:tl2br w:val="nil"/>
                    <w:tr2bl w:val="nil"/>
                  </w:tcBorders>
                  <w:vAlign w:val="center"/>
                </w:tcPr>
                <w:p>
                  <w:pPr>
                    <w:pStyle w:val="9"/>
                    <w:spacing w:line="240" w:lineRule="exact"/>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额定风速</w:t>
                  </w:r>
                </w:p>
              </w:tc>
              <w:tc>
                <w:tcPr>
                  <w:tcW w:w="587"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m/s</w:t>
                  </w:r>
                </w:p>
              </w:tc>
              <w:tc>
                <w:tcPr>
                  <w:tcW w:w="1434" w:type="pct"/>
                  <w:tcBorders>
                    <w:tl2br w:val="nil"/>
                    <w:tr2bl w:val="nil"/>
                  </w:tcBorders>
                  <w:vAlign w:val="center"/>
                </w:tcPr>
                <w:p>
                  <w:pPr>
                    <w:pStyle w:val="9"/>
                    <w:spacing w:line="240" w:lineRule="exact"/>
                    <w:jc w:val="center"/>
                    <w:rPr>
                      <w:rFonts w:hint="default" w:ascii="Times New Roman" w:hAnsi="Times New Roman" w:eastAsia="宋体"/>
                      <w:snapToGrid w:val="0"/>
                      <w:color w:val="000000" w:themeColor="text1"/>
                      <w:lang w:val="en-US" w:eastAsia="zh-CN"/>
                      <w14:textFill>
                        <w14:solidFill>
                          <w14:schemeClr w14:val="tx1"/>
                        </w14:solidFill>
                      </w14:textFill>
                    </w:rPr>
                  </w:pPr>
                  <w:r>
                    <w:rPr>
                      <w:rFonts w:hint="eastAsia" w:ascii="Times New Roman" w:hAnsi="Times New Roman"/>
                      <w:snapToGrid w:val="0"/>
                      <w:color w:val="000000" w:themeColor="text1"/>
                      <w:lang w:val="en-US" w:eastAsia="zh-CN"/>
                      <w14:textFill>
                        <w14:solidFill>
                          <w14:schemeClr w14:val="tx1"/>
                        </w14:solidFill>
                      </w14:textFill>
                    </w:rPr>
                    <w:t>8.85</w:t>
                  </w:r>
                </w:p>
              </w:tc>
              <w:tc>
                <w:tcPr>
                  <w:tcW w:w="782"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p>
              </w:tc>
              <w:tc>
                <w:tcPr>
                  <w:tcW w:w="1799" w:type="pct"/>
                  <w:gridSpan w:val="3"/>
                  <w:tcBorders>
                    <w:tl2br w:val="nil"/>
                    <w:tr2bl w:val="nil"/>
                  </w:tcBorders>
                  <w:vAlign w:val="center"/>
                </w:tcPr>
                <w:p>
                  <w:pPr>
                    <w:pStyle w:val="9"/>
                    <w:spacing w:line="240" w:lineRule="exact"/>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切出风速</w:t>
                  </w:r>
                </w:p>
              </w:tc>
              <w:tc>
                <w:tcPr>
                  <w:tcW w:w="587"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m/s</w:t>
                  </w:r>
                </w:p>
              </w:tc>
              <w:tc>
                <w:tcPr>
                  <w:tcW w:w="1434" w:type="pct"/>
                  <w:tcBorders>
                    <w:tl2br w:val="nil"/>
                    <w:tr2bl w:val="nil"/>
                  </w:tcBorders>
                  <w:vAlign w:val="center"/>
                </w:tcPr>
                <w:p>
                  <w:pPr>
                    <w:pStyle w:val="9"/>
                    <w:spacing w:line="240" w:lineRule="exact"/>
                    <w:jc w:val="center"/>
                    <w:rPr>
                      <w:rFonts w:hint="default" w:ascii="Times New Roman" w:hAnsi="Times New Roman" w:eastAsia="宋体"/>
                      <w:snapToGrid w:val="0"/>
                      <w:color w:val="000000" w:themeColor="text1"/>
                      <w:lang w:val="en-US" w:eastAsia="zh-CN"/>
                      <w14:textFill>
                        <w14:solidFill>
                          <w14:schemeClr w14:val="tx1"/>
                        </w14:solidFill>
                      </w14:textFill>
                    </w:rPr>
                  </w:pPr>
                  <w:r>
                    <w:rPr>
                      <w:rFonts w:hint="eastAsia" w:ascii="Times New Roman" w:hAnsi="Times New Roman"/>
                      <w:snapToGrid w:val="0"/>
                      <w:color w:val="000000" w:themeColor="text1"/>
                      <w:lang w:val="en-US" w:eastAsia="zh-CN"/>
                      <w14:textFill>
                        <w14:solidFill>
                          <w14:schemeClr w14:val="tx1"/>
                        </w14:solidFill>
                      </w14:textFill>
                    </w:rPr>
                    <w:t>20</w:t>
                  </w:r>
                </w:p>
              </w:tc>
              <w:tc>
                <w:tcPr>
                  <w:tcW w:w="782"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p>
              </w:tc>
              <w:tc>
                <w:tcPr>
                  <w:tcW w:w="1799" w:type="pct"/>
                  <w:gridSpan w:val="3"/>
                  <w:tcBorders>
                    <w:tl2br w:val="nil"/>
                    <w:tr2bl w:val="nil"/>
                  </w:tcBorders>
                  <w:vAlign w:val="center"/>
                </w:tcPr>
                <w:p>
                  <w:pPr>
                    <w:pStyle w:val="9"/>
                    <w:spacing w:line="240" w:lineRule="exact"/>
                    <w:rPr>
                      <w:rFonts w:hint="default" w:ascii="Times New Roman" w:hAnsi="Times New Roman" w:eastAsia="宋体"/>
                      <w:snapToGrid w:val="0"/>
                      <w:color w:val="000000" w:themeColor="text1"/>
                      <w:lang w:val="en-US" w:eastAsia="zh-CN"/>
                      <w14:textFill>
                        <w14:solidFill>
                          <w14:schemeClr w14:val="tx1"/>
                        </w14:solidFill>
                      </w14:textFill>
                    </w:rPr>
                  </w:pPr>
                  <w:r>
                    <w:rPr>
                      <w:rFonts w:hint="eastAsia" w:ascii="Times New Roman" w:hAnsi="Times New Roman"/>
                      <w:snapToGrid w:val="0"/>
                      <w:color w:val="000000" w:themeColor="text1"/>
                      <w:lang w:val="en-US" w:eastAsia="zh-CN"/>
                      <w14:textFill>
                        <w14:solidFill>
                          <w14:schemeClr w14:val="tx1"/>
                        </w14:solidFill>
                      </w14:textFill>
                    </w:rPr>
                    <w:t>安全风速</w:t>
                  </w:r>
                </w:p>
              </w:tc>
              <w:tc>
                <w:tcPr>
                  <w:tcW w:w="587"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m</w:t>
                  </w:r>
                </w:p>
              </w:tc>
              <w:tc>
                <w:tcPr>
                  <w:tcW w:w="1434" w:type="pct"/>
                  <w:tcBorders>
                    <w:tl2br w:val="nil"/>
                    <w:tr2bl w:val="nil"/>
                  </w:tcBorders>
                  <w:vAlign w:val="center"/>
                </w:tcPr>
                <w:p>
                  <w:pPr>
                    <w:pStyle w:val="9"/>
                    <w:spacing w:line="240" w:lineRule="exact"/>
                    <w:jc w:val="center"/>
                    <w:rPr>
                      <w:rFonts w:hint="default" w:ascii="Times New Roman" w:hAnsi="Times New Roman" w:eastAsia="宋体"/>
                      <w:snapToGrid w:val="0"/>
                      <w:color w:val="000000" w:themeColor="text1"/>
                      <w:lang w:val="en-US" w:eastAsia="zh-CN"/>
                      <w14:textFill>
                        <w14:solidFill>
                          <w14:schemeClr w14:val="tx1"/>
                        </w14:solidFill>
                      </w14:textFill>
                    </w:rPr>
                  </w:pPr>
                  <w:r>
                    <w:rPr>
                      <w:rFonts w:hint="eastAsia" w:ascii="Times New Roman" w:hAnsi="Times New Roman"/>
                      <w:snapToGrid w:val="0"/>
                      <w:color w:val="000000" w:themeColor="text1"/>
                      <w:lang w:val="en-US" w:eastAsia="zh-CN"/>
                      <w14:textFill>
                        <w14:solidFill>
                          <w14:schemeClr w14:val="tx1"/>
                        </w14:solidFill>
                      </w14:textFill>
                    </w:rPr>
                    <w:t>52.5</w:t>
                  </w:r>
                </w:p>
              </w:tc>
              <w:tc>
                <w:tcPr>
                  <w:tcW w:w="782"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p>
              </w:tc>
              <w:tc>
                <w:tcPr>
                  <w:tcW w:w="1799" w:type="pct"/>
                  <w:gridSpan w:val="3"/>
                  <w:tcBorders>
                    <w:tl2br w:val="nil"/>
                    <w:tr2bl w:val="nil"/>
                  </w:tcBorders>
                  <w:vAlign w:val="center"/>
                </w:tcPr>
                <w:p>
                  <w:pPr>
                    <w:pStyle w:val="9"/>
                    <w:spacing w:line="240" w:lineRule="exact"/>
                    <w:rPr>
                      <w:rFonts w:ascii="Times New Roman" w:hAnsi="Times New Roman"/>
                      <w:snapToGrid w:val="0"/>
                      <w:color w:val="000000" w:themeColor="text1"/>
                      <w14:textFill>
                        <w14:solidFill>
                          <w14:schemeClr w14:val="tx1"/>
                        </w14:solidFill>
                      </w14:textFill>
                    </w:rPr>
                  </w:pPr>
                  <w:r>
                    <w:rPr>
                      <w:rFonts w:hint="eastAsia" w:ascii="Times New Roman" w:hAnsi="Times New Roman"/>
                      <w:snapToGrid w:val="0"/>
                      <w:color w:val="000000" w:themeColor="text1"/>
                      <w:lang w:val="en-US" w:eastAsia="zh-CN"/>
                      <w14:textFill>
                        <w14:solidFill>
                          <w14:schemeClr w14:val="tx1"/>
                        </w14:solidFill>
                      </w14:textFill>
                    </w:rPr>
                    <w:t>轮毂高度</w:t>
                  </w:r>
                </w:p>
              </w:tc>
              <w:tc>
                <w:tcPr>
                  <w:tcW w:w="587" w:type="pct"/>
                  <w:tcBorders>
                    <w:tl2br w:val="nil"/>
                    <w:tr2bl w:val="nil"/>
                  </w:tcBorders>
                  <w:vAlign w:val="center"/>
                </w:tcPr>
                <w:p>
                  <w:pPr>
                    <w:pStyle w:val="9"/>
                    <w:spacing w:line="240" w:lineRule="exact"/>
                    <w:jc w:val="center"/>
                    <w:rPr>
                      <w:rFonts w:hint="eastAsia" w:ascii="Times New Roman" w:hAnsi="Times New Roman" w:eastAsia="宋体"/>
                      <w:snapToGrid w:val="0"/>
                      <w:color w:val="000000" w:themeColor="text1"/>
                      <w:lang w:val="en-US" w:eastAsia="zh-CN"/>
                      <w14:textFill>
                        <w14:solidFill>
                          <w14:schemeClr w14:val="tx1"/>
                        </w14:solidFill>
                      </w14:textFill>
                    </w:rPr>
                  </w:pPr>
                  <w:r>
                    <w:rPr>
                      <w:rFonts w:hint="eastAsia" w:ascii="Times New Roman" w:hAnsi="Times New Roman"/>
                      <w:snapToGrid w:val="0"/>
                      <w:color w:val="000000" w:themeColor="text1"/>
                      <w:lang w:val="en-US" w:eastAsia="zh-CN"/>
                      <w14:textFill>
                        <w14:solidFill>
                          <w14:schemeClr w14:val="tx1"/>
                        </w14:solidFill>
                      </w14:textFill>
                    </w:rPr>
                    <w:t>m</w:t>
                  </w:r>
                </w:p>
              </w:tc>
              <w:tc>
                <w:tcPr>
                  <w:tcW w:w="1434" w:type="pct"/>
                  <w:tcBorders>
                    <w:tl2br w:val="nil"/>
                    <w:tr2bl w:val="nil"/>
                  </w:tcBorders>
                  <w:vAlign w:val="center"/>
                </w:tcPr>
                <w:p>
                  <w:pPr>
                    <w:pStyle w:val="9"/>
                    <w:spacing w:line="240" w:lineRule="exact"/>
                    <w:jc w:val="center"/>
                    <w:rPr>
                      <w:rFonts w:hint="default" w:ascii="Times New Roman" w:hAnsi="Times New Roman" w:eastAsia="宋体"/>
                      <w:snapToGrid w:val="0"/>
                      <w:color w:val="000000" w:themeColor="text1"/>
                      <w:lang w:val="en-US" w:eastAsia="zh-CN"/>
                      <w14:textFill>
                        <w14:solidFill>
                          <w14:schemeClr w14:val="tx1"/>
                        </w14:solidFill>
                      </w14:textFill>
                    </w:rPr>
                  </w:pPr>
                  <w:r>
                    <w:rPr>
                      <w:rFonts w:hint="eastAsia" w:ascii="Times New Roman" w:hAnsi="Times New Roman"/>
                      <w:snapToGrid w:val="0"/>
                      <w:color w:val="000000" w:themeColor="text1"/>
                      <w:lang w:val="en-US" w:eastAsia="zh-CN"/>
                      <w14:textFill>
                        <w14:solidFill>
                          <w14:schemeClr w14:val="tx1"/>
                        </w14:solidFill>
                      </w14:textFill>
                    </w:rPr>
                    <w:t>92~140</w:t>
                  </w:r>
                </w:p>
              </w:tc>
              <w:tc>
                <w:tcPr>
                  <w:tcW w:w="782"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p>
              </w:tc>
              <w:tc>
                <w:tcPr>
                  <w:tcW w:w="1799" w:type="pct"/>
                  <w:gridSpan w:val="3"/>
                  <w:tcBorders>
                    <w:tl2br w:val="nil"/>
                    <w:tr2bl w:val="nil"/>
                  </w:tcBorders>
                  <w:vAlign w:val="center"/>
                </w:tcPr>
                <w:p>
                  <w:pPr>
                    <w:pStyle w:val="9"/>
                    <w:spacing w:line="240" w:lineRule="exact"/>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额定功率</w:t>
                  </w:r>
                </w:p>
              </w:tc>
              <w:tc>
                <w:tcPr>
                  <w:tcW w:w="587"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kW</w:t>
                  </w:r>
                </w:p>
              </w:tc>
              <w:tc>
                <w:tcPr>
                  <w:tcW w:w="1434" w:type="pct"/>
                  <w:tcBorders>
                    <w:tl2br w:val="nil"/>
                    <w:tr2bl w:val="nil"/>
                  </w:tcBorders>
                  <w:vAlign w:val="center"/>
                </w:tcPr>
                <w:p>
                  <w:pPr>
                    <w:pStyle w:val="9"/>
                    <w:spacing w:line="240" w:lineRule="exact"/>
                    <w:jc w:val="center"/>
                    <w:rPr>
                      <w:rFonts w:hint="default" w:ascii="Times New Roman" w:hAnsi="Times New Roman" w:eastAsia="宋体"/>
                      <w:snapToGrid w:val="0"/>
                      <w:color w:val="000000" w:themeColor="text1"/>
                      <w:lang w:val="en-US" w:eastAsia="zh-CN"/>
                      <w14:textFill>
                        <w14:solidFill>
                          <w14:schemeClr w14:val="tx1"/>
                        </w14:solidFill>
                      </w14:textFill>
                    </w:rPr>
                  </w:pPr>
                  <w:r>
                    <w:rPr>
                      <w:rFonts w:hint="eastAsia" w:ascii="Times New Roman" w:hAnsi="Times New Roman"/>
                      <w:snapToGrid w:val="0"/>
                      <w:color w:val="000000" w:themeColor="text1"/>
                      <w:lang w:val="en-US" w:eastAsia="zh-CN"/>
                      <w14:textFill>
                        <w14:solidFill>
                          <w14:schemeClr w14:val="tx1"/>
                        </w14:solidFill>
                      </w14:textFill>
                    </w:rPr>
                    <w:t>2500</w:t>
                  </w:r>
                </w:p>
              </w:tc>
              <w:tc>
                <w:tcPr>
                  <w:tcW w:w="782"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p>
              </w:tc>
              <w:tc>
                <w:tcPr>
                  <w:tcW w:w="1799" w:type="pct"/>
                  <w:gridSpan w:val="3"/>
                  <w:tcBorders>
                    <w:tl2br w:val="nil"/>
                    <w:tr2bl w:val="nil"/>
                  </w:tcBorders>
                  <w:vAlign w:val="center"/>
                </w:tcPr>
                <w:p>
                  <w:pPr>
                    <w:pStyle w:val="9"/>
                    <w:spacing w:line="240" w:lineRule="exact"/>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输出电压</w:t>
                  </w:r>
                </w:p>
              </w:tc>
              <w:tc>
                <w:tcPr>
                  <w:tcW w:w="587"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V</w:t>
                  </w:r>
                </w:p>
              </w:tc>
              <w:tc>
                <w:tcPr>
                  <w:tcW w:w="1434" w:type="pct"/>
                  <w:tcBorders>
                    <w:tl2br w:val="nil"/>
                    <w:tr2bl w:val="nil"/>
                  </w:tcBorders>
                  <w:vAlign w:val="center"/>
                </w:tcPr>
                <w:p>
                  <w:pPr>
                    <w:pStyle w:val="9"/>
                    <w:spacing w:line="240" w:lineRule="exact"/>
                    <w:jc w:val="center"/>
                    <w:rPr>
                      <w:rFonts w:hint="default" w:ascii="Times New Roman" w:hAnsi="Times New Roman" w:eastAsia="宋体"/>
                      <w:snapToGrid w:val="0"/>
                      <w:color w:val="000000" w:themeColor="text1"/>
                      <w:lang w:val="en-US" w:eastAsia="zh-CN"/>
                      <w14:textFill>
                        <w14:solidFill>
                          <w14:schemeClr w14:val="tx1"/>
                        </w14:solidFill>
                      </w14:textFill>
                    </w:rPr>
                  </w:pPr>
                  <w:r>
                    <w:rPr>
                      <w:rFonts w:hint="eastAsia" w:ascii="Times New Roman" w:hAnsi="Times New Roman"/>
                      <w:snapToGrid w:val="0"/>
                      <w:color w:val="000000" w:themeColor="text1"/>
                      <w:lang w:val="en-US" w:eastAsia="zh-CN"/>
                      <w14:textFill>
                        <w14:solidFill>
                          <w14:schemeClr w14:val="tx1"/>
                        </w14:solidFill>
                      </w14:textFill>
                    </w:rPr>
                    <w:t>0.95</w:t>
                  </w:r>
                </w:p>
              </w:tc>
              <w:tc>
                <w:tcPr>
                  <w:tcW w:w="782"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b/>
                      <w:bCs/>
                      <w:snapToGrid w:val="0"/>
                      <w:color w:val="000000" w:themeColor="text1"/>
                      <w14:textFill>
                        <w14:solidFill>
                          <w14:schemeClr w14:val="tx1"/>
                        </w14:solidFill>
                      </w14:textFill>
                    </w:rPr>
                  </w:pPr>
                  <w:r>
                    <w:rPr>
                      <w:rFonts w:ascii="Times New Roman" w:hAnsi="Times New Roman"/>
                      <w:b/>
                      <w:bCs/>
                      <w:snapToGrid w:val="0"/>
                      <w:color w:val="000000" w:themeColor="text1"/>
                      <w14:textFill>
                        <w14:solidFill>
                          <w14:schemeClr w14:val="tx1"/>
                        </w14:solidFill>
                      </w14:textFill>
                    </w:rPr>
                    <w:t>2</w:t>
                  </w:r>
                </w:p>
              </w:tc>
              <w:tc>
                <w:tcPr>
                  <w:tcW w:w="4603" w:type="pct"/>
                  <w:gridSpan w:val="6"/>
                  <w:tcBorders>
                    <w:tl2br w:val="nil"/>
                    <w:tr2bl w:val="nil"/>
                  </w:tcBorders>
                  <w:vAlign w:val="center"/>
                </w:tcPr>
                <w:p>
                  <w:pPr>
                    <w:pStyle w:val="9"/>
                    <w:spacing w:line="240" w:lineRule="exact"/>
                    <w:jc w:val="left"/>
                    <w:rPr>
                      <w:rFonts w:ascii="Times New Roman" w:hAnsi="Times New Roman"/>
                      <w:snapToGrid w:val="0"/>
                      <w:color w:val="000000" w:themeColor="text1"/>
                      <w14:textFill>
                        <w14:solidFill>
                          <w14:schemeClr w14:val="tx1"/>
                        </w14:solidFill>
                      </w14:textFill>
                    </w:rPr>
                  </w:pPr>
                  <w:r>
                    <w:rPr>
                      <w:rFonts w:ascii="Times New Roman" w:hAnsi="Times New Roman"/>
                      <w:b/>
                      <w:bCs/>
                      <w:snapToGrid w:val="0"/>
                      <w:color w:val="000000" w:themeColor="text1"/>
                      <w14:textFill>
                        <w14:solidFill>
                          <w14:schemeClr w14:val="tx1"/>
                        </w14:solidFill>
                      </w14:textFill>
                    </w:rPr>
                    <w:t>中压变送电设备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p>
              </w:tc>
              <w:tc>
                <w:tcPr>
                  <w:tcW w:w="1799" w:type="pct"/>
                  <w:gridSpan w:val="3"/>
                  <w:tcBorders>
                    <w:tl2br w:val="nil"/>
                    <w:tr2bl w:val="nil"/>
                  </w:tcBorders>
                  <w:vAlign w:val="center"/>
                </w:tcPr>
                <w:p>
                  <w:pPr>
                    <w:pStyle w:val="9"/>
                    <w:spacing w:line="240" w:lineRule="exact"/>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箱式变电站</w:t>
                  </w:r>
                </w:p>
              </w:tc>
              <w:tc>
                <w:tcPr>
                  <w:tcW w:w="587"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台</w:t>
                  </w:r>
                </w:p>
              </w:tc>
              <w:tc>
                <w:tcPr>
                  <w:tcW w:w="1434" w:type="pct"/>
                  <w:tcBorders>
                    <w:tl2br w:val="nil"/>
                    <w:tr2bl w:val="nil"/>
                  </w:tcBorders>
                  <w:vAlign w:val="center"/>
                </w:tcPr>
                <w:p>
                  <w:pPr>
                    <w:pStyle w:val="9"/>
                    <w:spacing w:line="240" w:lineRule="exact"/>
                    <w:jc w:val="center"/>
                    <w:rPr>
                      <w:rFonts w:hint="default" w:ascii="Times New Roman" w:hAnsi="Times New Roman" w:eastAsia="宋体" w:cs="Times New Roman"/>
                      <w:snapToGrid w:val="0"/>
                      <w:color w:val="000000" w:themeColor="text1"/>
                      <w:lang w:val="en-US" w:eastAsia="zh-CN"/>
                      <w14:textFill>
                        <w14:solidFill>
                          <w14:schemeClr w14:val="tx1"/>
                        </w14:solidFill>
                      </w14:textFill>
                    </w:rPr>
                  </w:pPr>
                  <w:r>
                    <w:rPr>
                      <w:rFonts w:hint="default" w:ascii="Times New Roman" w:hAnsi="Times New Roman" w:cs="Times New Roman"/>
                      <w:snapToGrid w:val="0"/>
                      <w:color w:val="000000" w:themeColor="text1"/>
                      <w:lang w:val="en-US" w:eastAsia="zh-CN"/>
                      <w14:textFill>
                        <w14:solidFill>
                          <w14:schemeClr w14:val="tx1"/>
                        </w14:solidFill>
                      </w14:textFill>
                    </w:rPr>
                    <w:t>8</w:t>
                  </w:r>
                </w:p>
              </w:tc>
              <w:tc>
                <w:tcPr>
                  <w:tcW w:w="782"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p>
              </w:tc>
              <w:tc>
                <w:tcPr>
                  <w:tcW w:w="1799" w:type="pct"/>
                  <w:gridSpan w:val="3"/>
                  <w:tcBorders>
                    <w:tl2br w:val="nil"/>
                    <w:tr2bl w:val="nil"/>
                  </w:tcBorders>
                  <w:vAlign w:val="center"/>
                </w:tcPr>
                <w:p>
                  <w:pPr>
                    <w:rPr>
                      <w:rFonts w:ascii="Times New Roman" w:hAnsi="Times New Roman"/>
                      <w:snapToGrid w:val="0"/>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型号</w:t>
                  </w:r>
                </w:p>
              </w:tc>
              <w:tc>
                <w:tcPr>
                  <w:tcW w:w="587" w:type="pct"/>
                  <w:tcBorders>
                    <w:tl2br w:val="nil"/>
                    <w:tr2bl w:val="nil"/>
                  </w:tcBorders>
                  <w:vAlign w:val="center"/>
                </w:tcPr>
                <w:p>
                  <w:pPr>
                    <w:jc w:val="center"/>
                    <w:rPr>
                      <w:rFonts w:ascii="Times New Roman" w:hAnsi="Times New Roman"/>
                      <w:snapToGrid w:val="0"/>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c>
                <w:tcPr>
                  <w:tcW w:w="1434" w:type="pct"/>
                  <w:tcBorders>
                    <w:tl2br w:val="nil"/>
                    <w:tr2bl w:val="nil"/>
                  </w:tcBorders>
                  <w:vAlign w:val="center"/>
                </w:tcPr>
                <w:p>
                  <w:pPr>
                    <w:keepNext w:val="0"/>
                    <w:keepLines w:val="0"/>
                    <w:widowControl/>
                    <w:suppressLineNumbers w:val="0"/>
                    <w:jc w:val="center"/>
                    <w:rPr>
                      <w:rFonts w:hint="default" w:ascii="Times New Roman" w:hAnsi="Times New Roman" w:cs="Times New Roman"/>
                      <w:snapToGrid w:val="0"/>
                      <w:color w:val="000000" w:themeColor="text1"/>
                      <w:szCs w:val="21"/>
                      <w14:textFill>
                        <w14:solidFill>
                          <w14:schemeClr w14:val="tx1"/>
                        </w14:solidFill>
                      </w14:textFill>
                    </w:rPr>
                  </w:pPr>
                  <w:r>
                    <w:rPr>
                      <w:rFonts w:hint="default" w:ascii="Times New Roman" w:hAnsi="Times New Roman" w:eastAsia="TimesNewRomanPSMT" w:cs="Times New Roman"/>
                      <w:color w:val="000000" w:themeColor="text1"/>
                      <w:kern w:val="0"/>
                      <w:sz w:val="21"/>
                      <w:szCs w:val="21"/>
                      <w:lang w:val="en-US" w:eastAsia="zh-CN" w:bidi="ar"/>
                      <w14:textFill>
                        <w14:solidFill>
                          <w14:schemeClr w14:val="tx1"/>
                        </w14:solidFill>
                      </w14:textFill>
                    </w:rPr>
                    <w:t>ZGS-ZF-2750/35</w:t>
                  </w:r>
                </w:p>
              </w:tc>
              <w:tc>
                <w:tcPr>
                  <w:tcW w:w="782"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r>
                    <w:rPr>
                      <w:rFonts w:ascii="Times New Roman" w:hAnsi="Times New Roman"/>
                      <w:snapToGrid w:val="0"/>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p>
              </w:tc>
              <w:tc>
                <w:tcPr>
                  <w:tcW w:w="1799" w:type="pct"/>
                  <w:gridSpan w:val="3"/>
                  <w:tcBorders>
                    <w:tl2br w:val="nil"/>
                    <w:tr2bl w:val="nil"/>
                  </w:tcBorders>
                  <w:vAlign w:val="center"/>
                </w:tcPr>
                <w:p>
                  <w:pPr>
                    <w:rPr>
                      <w:rFonts w:ascii="Times New Roman" w:hAnsi="Times New Roman"/>
                      <w:snapToGrid w:val="0"/>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额定电压</w:t>
                  </w:r>
                </w:p>
              </w:tc>
              <w:tc>
                <w:tcPr>
                  <w:tcW w:w="587" w:type="pct"/>
                  <w:tcBorders>
                    <w:tl2br w:val="nil"/>
                    <w:tr2bl w:val="nil"/>
                  </w:tcBorders>
                  <w:vAlign w:val="center"/>
                </w:tcPr>
                <w:p>
                  <w:pPr>
                    <w:jc w:val="center"/>
                    <w:rPr>
                      <w:rFonts w:ascii="Times New Roman" w:hAnsi="Times New Roman"/>
                      <w:snapToGrid w:val="0"/>
                      <w:color w:val="000000" w:themeColor="text1"/>
                      <w:szCs w:val="21"/>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V</w:t>
                  </w:r>
                </w:p>
              </w:tc>
              <w:tc>
                <w:tcPr>
                  <w:tcW w:w="1434" w:type="pct"/>
                  <w:tcBorders>
                    <w:tl2br w:val="nil"/>
                    <w:tr2bl w:val="nil"/>
                  </w:tcBorders>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37kV（高压侧）</w:t>
                  </w:r>
                </w:p>
                <w:p>
                  <w:pPr>
                    <w:jc w:val="center"/>
                    <w:rPr>
                      <w:rFonts w:ascii="Times New Roman" w:hAnsi="Times New Roman"/>
                      <w:snapToGrid w:val="0"/>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0.69kV（低压测）</w:t>
                  </w:r>
                </w:p>
              </w:tc>
              <w:tc>
                <w:tcPr>
                  <w:tcW w:w="782" w:type="pct"/>
                  <w:tcBorders>
                    <w:tl2br w:val="nil"/>
                    <w:tr2bl w:val="nil"/>
                  </w:tcBorders>
                  <w:vAlign w:val="center"/>
                </w:tcPr>
                <w:p>
                  <w:pPr>
                    <w:pStyle w:val="9"/>
                    <w:spacing w:line="240" w:lineRule="exact"/>
                    <w:jc w:val="center"/>
                    <w:rPr>
                      <w:rFonts w:hint="default" w:ascii="Times New Roman" w:hAnsi="Times New Roman" w:eastAsia="宋体"/>
                      <w:snapToGrid w:val="0"/>
                      <w:color w:val="000000" w:themeColor="text1"/>
                      <w:lang w:val="en-US" w:eastAsia="zh-CN"/>
                      <w14:textFill>
                        <w14:solidFill>
                          <w14:schemeClr w14:val="tx1"/>
                        </w14:solidFill>
                      </w14:textFill>
                    </w:rPr>
                  </w:pPr>
                  <w:r>
                    <w:rPr>
                      <w:rFonts w:hint="eastAsia" w:ascii="Times New Roman" w:hAnsi="Times New Roman"/>
                      <w:snapToGrid w:val="0"/>
                      <w:color w:val="000000" w:themeColor="text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hint="eastAsia" w:ascii="Times New Roman" w:hAnsi="Times New Roman"/>
                      <w:b/>
                      <w:bCs/>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四</w:t>
                  </w:r>
                </w:p>
              </w:tc>
              <w:tc>
                <w:tcPr>
                  <w:tcW w:w="4603" w:type="pct"/>
                  <w:gridSpan w:val="6"/>
                  <w:tcBorders>
                    <w:tl2br w:val="nil"/>
                    <w:tr2bl w:val="nil"/>
                  </w:tcBorders>
                  <w:vAlign w:val="center"/>
                </w:tcPr>
                <w:p>
                  <w:pPr>
                    <w:pStyle w:val="9"/>
                    <w:spacing w:line="240" w:lineRule="exact"/>
                    <w:jc w:val="left"/>
                    <w:rPr>
                      <w:rFonts w:hint="eastAsia" w:ascii="Times New Roman" w:hAnsi="Times New Roman"/>
                      <w:snapToGrid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集电线路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p>
              </w:tc>
              <w:tc>
                <w:tcPr>
                  <w:tcW w:w="1799" w:type="pct"/>
                  <w:gridSpan w:val="3"/>
                  <w:tcBorders>
                    <w:tl2br w:val="nil"/>
                    <w:tr2bl w:val="nil"/>
                  </w:tcBorders>
                  <w:vAlign w:val="center"/>
                </w:tcPr>
                <w:p>
                  <w:pP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电压等级</w:t>
                  </w:r>
                </w:p>
              </w:tc>
              <w:tc>
                <w:tcPr>
                  <w:tcW w:w="587" w:type="pct"/>
                  <w:tcBorders>
                    <w:tl2br w:val="nil"/>
                    <w:tr2bl w:val="nil"/>
                  </w:tcBorders>
                  <w:vAlign w:val="center"/>
                </w:tcPr>
                <w:p>
                  <w:pPr>
                    <w:jc w:val="center"/>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kV</w:t>
                  </w:r>
                </w:p>
              </w:tc>
              <w:tc>
                <w:tcPr>
                  <w:tcW w:w="1434" w:type="pct"/>
                  <w:tcBorders>
                    <w:tl2br w:val="nil"/>
                    <w:tr2bl w:val="nil"/>
                  </w:tcBorders>
                  <w:vAlign w:val="center"/>
                </w:tcPr>
                <w:p>
                  <w:pPr>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35</w:t>
                  </w:r>
                </w:p>
              </w:tc>
              <w:tc>
                <w:tcPr>
                  <w:tcW w:w="782" w:type="pct"/>
                  <w:tcBorders>
                    <w:tl2br w:val="nil"/>
                    <w:tr2bl w:val="nil"/>
                  </w:tcBorders>
                  <w:vAlign w:val="center"/>
                </w:tcPr>
                <w:p>
                  <w:pPr>
                    <w:pStyle w:val="9"/>
                    <w:spacing w:line="240" w:lineRule="exact"/>
                    <w:jc w:val="center"/>
                    <w:rPr>
                      <w:rFonts w:hint="eastAsia" w:ascii="Times New Roman" w:hAnsi="Times New Roman"/>
                      <w:snapToGrid w:val="0"/>
                      <w:color w:val="000000" w:themeColor="text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p>
              </w:tc>
              <w:tc>
                <w:tcPr>
                  <w:tcW w:w="1799" w:type="pct"/>
                  <w:gridSpan w:val="3"/>
                  <w:tcBorders>
                    <w:tl2br w:val="nil"/>
                    <w:tr2bl w:val="nil"/>
                  </w:tcBorders>
                  <w:vAlign w:val="center"/>
                </w:tcPr>
                <w:p>
                  <w:pP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回路数</w:t>
                  </w:r>
                </w:p>
              </w:tc>
              <w:tc>
                <w:tcPr>
                  <w:tcW w:w="587" w:type="pct"/>
                  <w:tcBorders>
                    <w:tl2br w:val="nil"/>
                    <w:tr2bl w:val="nil"/>
                  </w:tcBorders>
                  <w:vAlign w:val="center"/>
                </w:tcPr>
                <w:p>
                  <w:pPr>
                    <w:jc w:val="center"/>
                    <w:rPr>
                      <w:rFonts w:hint="eastAsia" w:ascii="Times New Roman" w:hAnsi="Times New Roman"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回</w:t>
                  </w:r>
                </w:p>
              </w:tc>
              <w:tc>
                <w:tcPr>
                  <w:tcW w:w="1434" w:type="pct"/>
                  <w:tcBorders>
                    <w:tl2br w:val="nil"/>
                    <w:tr2bl w:val="nil"/>
                  </w:tcBorders>
                  <w:vAlign w:val="center"/>
                </w:tcPr>
                <w:p>
                  <w:pPr>
                    <w:jc w:val="center"/>
                    <w:rPr>
                      <w:rFonts w:hint="eastAsia" w:ascii="Times New Roman" w:hAnsi="Times New Roman"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782" w:type="pct"/>
                  <w:tcBorders>
                    <w:tl2br w:val="nil"/>
                    <w:tr2bl w:val="nil"/>
                  </w:tcBorders>
                  <w:vAlign w:val="center"/>
                </w:tcPr>
                <w:p>
                  <w:pPr>
                    <w:pStyle w:val="9"/>
                    <w:spacing w:line="240" w:lineRule="exact"/>
                    <w:jc w:val="center"/>
                    <w:rPr>
                      <w:rFonts w:hint="eastAsia" w:ascii="Times New Roman" w:hAnsi="Times New Roman"/>
                      <w:snapToGrid w:val="0"/>
                      <w:color w:val="000000" w:themeColor="text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ascii="Times New Roman" w:hAnsi="Times New Roman"/>
                      <w:snapToGrid w:val="0"/>
                      <w:color w:val="000000" w:themeColor="text1"/>
                      <w14:textFill>
                        <w14:solidFill>
                          <w14:schemeClr w14:val="tx1"/>
                        </w14:solidFill>
                      </w14:textFill>
                    </w:rPr>
                  </w:pPr>
                </w:p>
              </w:tc>
              <w:tc>
                <w:tcPr>
                  <w:tcW w:w="1799" w:type="pct"/>
                  <w:gridSpan w:val="3"/>
                  <w:tcBorders>
                    <w:tl2br w:val="nil"/>
                    <w:tr2bl w:val="nil"/>
                  </w:tcBorders>
                  <w:vAlign w:val="center"/>
                </w:tcPr>
                <w:p>
                  <w:pP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长度</w:t>
                  </w:r>
                </w:p>
              </w:tc>
              <w:tc>
                <w:tcPr>
                  <w:tcW w:w="587" w:type="pct"/>
                  <w:tcBorders>
                    <w:tl2br w:val="nil"/>
                    <w:tr2bl w:val="nil"/>
                  </w:tcBorders>
                  <w:vAlign w:val="center"/>
                </w:tcPr>
                <w:p>
                  <w:pPr>
                    <w:jc w:val="center"/>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km</w:t>
                  </w:r>
                </w:p>
              </w:tc>
              <w:tc>
                <w:tcPr>
                  <w:tcW w:w="1434" w:type="pct"/>
                  <w:tcBorders>
                    <w:tl2br w:val="nil"/>
                    <w:tr2bl w:val="nil"/>
                  </w:tcBorders>
                  <w:vAlign w:val="center"/>
                </w:tcPr>
                <w:p>
                  <w:pPr>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1（电缆）+18.7（架空）</w:t>
                  </w:r>
                </w:p>
              </w:tc>
              <w:tc>
                <w:tcPr>
                  <w:tcW w:w="782" w:type="pct"/>
                  <w:tcBorders>
                    <w:tl2br w:val="nil"/>
                    <w:tr2bl w:val="nil"/>
                  </w:tcBorders>
                  <w:vAlign w:val="center"/>
                </w:tcPr>
                <w:p>
                  <w:pPr>
                    <w:pStyle w:val="9"/>
                    <w:spacing w:line="240" w:lineRule="exact"/>
                    <w:jc w:val="center"/>
                    <w:rPr>
                      <w:rFonts w:hint="eastAsia" w:ascii="Times New Roman" w:hAnsi="Times New Roman"/>
                      <w:snapToGrid w:val="0"/>
                      <w:color w:val="000000" w:themeColor="text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vMerge w:val="restart"/>
                  <w:tcBorders>
                    <w:tl2br w:val="nil"/>
                    <w:tr2bl w:val="nil"/>
                  </w:tcBorders>
                  <w:vAlign w:val="center"/>
                </w:tcPr>
                <w:p>
                  <w:pPr>
                    <w:pStyle w:val="9"/>
                    <w:spacing w:line="240" w:lineRule="exact"/>
                    <w:jc w:val="center"/>
                    <w:rPr>
                      <w:rFonts w:hint="eastAsia" w:ascii="Times New Roman" w:hAnsi="Times New Roman" w:eastAsia="宋体"/>
                      <w:b/>
                      <w:bCs/>
                      <w:snapToGrid w:val="0"/>
                      <w:color w:val="000000" w:themeColor="text1"/>
                      <w:lang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五</w:t>
                  </w:r>
                </w:p>
              </w:tc>
              <w:tc>
                <w:tcPr>
                  <w:tcW w:w="4603" w:type="pct"/>
                  <w:gridSpan w:val="6"/>
                  <w:tcBorders>
                    <w:tl2br w:val="nil"/>
                    <w:tr2bl w:val="nil"/>
                  </w:tcBorders>
                  <w:vAlign w:val="center"/>
                </w:tcPr>
                <w:p>
                  <w:pPr>
                    <w:pStyle w:val="9"/>
                    <w:spacing w:line="240" w:lineRule="exact"/>
                    <w:jc w:val="left"/>
                    <w:rPr>
                      <w:rFonts w:hint="eastAsia" w:ascii="Times New Roman" w:hAnsi="Times New Roman" w:eastAsia="宋体"/>
                      <w:snapToGrid w:val="0"/>
                      <w:color w:val="000000" w:themeColor="text1"/>
                      <w:lang w:eastAsia="zh-CN"/>
                      <w14:textFill>
                        <w14:solidFill>
                          <w14:schemeClr w14:val="tx1"/>
                        </w14:solidFill>
                      </w14:textFill>
                    </w:rPr>
                  </w:pPr>
                  <w:r>
                    <w:rPr>
                      <w:rFonts w:hint="eastAsia" w:ascii="Times New Roman" w:hAnsi="Times New Roman"/>
                      <w:b/>
                      <w:bCs/>
                      <w:snapToGrid w:val="0"/>
                      <w:color w:val="000000" w:themeColor="text1"/>
                      <w:lang w:val="en-US" w:eastAsia="zh-CN"/>
                      <w14:textFill>
                        <w14:solidFill>
                          <w14:schemeClr w14:val="tx1"/>
                        </w14:solidFill>
                      </w14:textFill>
                    </w:rPr>
                    <w:t>35</w:t>
                  </w:r>
                  <w:r>
                    <w:rPr>
                      <w:rFonts w:ascii="Times New Roman" w:hAnsi="Times New Roman"/>
                      <w:color w:val="000000" w:themeColor="text1"/>
                      <w14:textFill>
                        <w14:solidFill>
                          <w14:schemeClr w14:val="tx1"/>
                        </w14:solidFill>
                      </w14:textFill>
                    </w:rPr>
                    <w:t>kV</w:t>
                  </w:r>
                  <w:r>
                    <w:rPr>
                      <w:rFonts w:hint="eastAsia" w:ascii="Times New Roman" w:hAnsi="Times New Roman"/>
                      <w:b/>
                      <w:bCs/>
                      <w:snapToGrid w:val="0"/>
                      <w:color w:val="000000" w:themeColor="text1"/>
                      <w:lang w:val="en-US" w:eastAsia="zh-CN"/>
                      <w14:textFill>
                        <w14:solidFill>
                          <w14:schemeClr w14:val="tx1"/>
                        </w14:solidFill>
                      </w14:textFill>
                    </w:rPr>
                    <w:t>开关站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24" w:hRule="atLeast"/>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514" w:type="pct"/>
                  <w:gridSpan w:val="2"/>
                  <w:vMerge w:val="restart"/>
                  <w:tcBorders>
                    <w:tl2br w:val="nil"/>
                    <w:tr2bl w:val="nil"/>
                  </w:tcBorders>
                  <w:vAlign w:val="center"/>
                </w:tcPr>
                <w:p>
                  <w:pPr>
                    <w:pStyle w:val="9"/>
                    <w:spacing w:line="240" w:lineRule="exact"/>
                    <w:rPr>
                      <w:rFonts w:ascii="Times New Roman" w:hAnsi="Times New Roman"/>
                      <w:color w:val="000000" w:themeColor="text1"/>
                      <w14:textFill>
                        <w14:solidFill>
                          <w14:schemeClr w14:val="tx1"/>
                        </w14:solidFill>
                      </w14:textFill>
                    </w:rPr>
                  </w:pPr>
                  <w:r>
                    <w:rPr>
                      <w:color w:val="000000" w:themeColor="text1"/>
                      <w:sz w:val="21"/>
                      <w14:textFill>
                        <w14:solidFill>
                          <w14:schemeClr w14:val="tx1"/>
                        </w14:solidFill>
                      </w14:textFill>
                    </w:rPr>
                    <w:t>出线回路数及电压等级</w:t>
                  </w:r>
                </w:p>
              </w:tc>
              <w:tc>
                <w:tcPr>
                  <w:tcW w:w="1285" w:type="pct"/>
                  <w:tcBorders>
                    <w:tl2br w:val="nil"/>
                    <w:tr2bl w:val="nil"/>
                  </w:tcBorders>
                  <w:vAlign w:val="center"/>
                </w:tcPr>
                <w:p>
                  <w:pPr>
                    <w:pStyle w:val="41"/>
                    <w:spacing w:before="39"/>
                    <w:ind w:left="336" w:leftChars="0" w:right="333" w:rightChars="0"/>
                    <w:jc w:val="center"/>
                    <w:rPr>
                      <w:rFonts w:ascii="Times New Roman" w:hAnsi="Times New Roman"/>
                      <w:color w:val="000000" w:themeColor="text1"/>
                      <w:szCs w:val="21"/>
                      <w14:textFill>
                        <w14:solidFill>
                          <w14:schemeClr w14:val="tx1"/>
                        </w14:solidFill>
                      </w14:textFill>
                    </w:rPr>
                  </w:pPr>
                  <w:r>
                    <w:rPr>
                      <w:color w:val="000000" w:themeColor="text1"/>
                      <w:sz w:val="21"/>
                      <w14:textFill>
                        <w14:solidFill>
                          <w14:schemeClr w14:val="tx1"/>
                        </w14:solidFill>
                      </w14:textFill>
                    </w:rPr>
                    <w:t>电压等级</w:t>
                  </w:r>
                </w:p>
              </w:tc>
              <w:tc>
                <w:tcPr>
                  <w:tcW w:w="587" w:type="pct"/>
                  <w:tcBorders>
                    <w:tl2br w:val="nil"/>
                    <w:tr2bl w:val="nil"/>
                  </w:tcBorders>
                  <w:vAlign w:val="center"/>
                </w:tcPr>
                <w:p>
                  <w:pPr>
                    <w:pStyle w:val="41"/>
                    <w:spacing w:before="48"/>
                    <w:ind w:left="139" w:leftChars="0" w:right="136" w:rightChars="0"/>
                    <w:jc w:val="center"/>
                    <w:rPr>
                      <w:rFonts w:ascii="Times New Roman" w:hAnsi="Times New Roman"/>
                      <w:color w:val="000000" w:themeColor="text1"/>
                      <w:szCs w:val="21"/>
                      <w14:textFill>
                        <w14:solidFill>
                          <w14:schemeClr w14:val="tx1"/>
                        </w14:solidFill>
                      </w14:textFill>
                    </w:rPr>
                  </w:pPr>
                  <w:r>
                    <w:rPr>
                      <w:rFonts w:ascii="Times New Roman"/>
                      <w:color w:val="000000" w:themeColor="text1"/>
                      <w:sz w:val="21"/>
                      <w14:textFill>
                        <w14:solidFill>
                          <w14:schemeClr w14:val="tx1"/>
                        </w14:solidFill>
                      </w14:textFill>
                    </w:rPr>
                    <w:t>kV</w:t>
                  </w:r>
                </w:p>
              </w:tc>
              <w:tc>
                <w:tcPr>
                  <w:tcW w:w="1434" w:type="pct"/>
                  <w:tcBorders>
                    <w:tl2br w:val="nil"/>
                    <w:tr2bl w:val="nil"/>
                  </w:tcBorders>
                  <w:vAlign w:val="center"/>
                </w:tcPr>
                <w:p>
                  <w:pPr>
                    <w:pStyle w:val="41"/>
                    <w:spacing w:before="48"/>
                    <w:ind w:left="224" w:leftChars="0" w:right="224" w:rightChars="0"/>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color w:val="000000" w:themeColor="text1"/>
                      <w:sz w:val="21"/>
                      <w:lang w:val="en-US" w:eastAsia="zh-CN"/>
                      <w14:textFill>
                        <w14:solidFill>
                          <w14:schemeClr w14:val="tx1"/>
                        </w14:solidFill>
                      </w14:textFill>
                    </w:rPr>
                    <w:t>35</w:t>
                  </w:r>
                </w:p>
              </w:tc>
              <w:tc>
                <w:tcPr>
                  <w:tcW w:w="782" w:type="pct"/>
                  <w:tcBorders>
                    <w:tl2br w:val="nil"/>
                    <w:tr2bl w:val="nil"/>
                  </w:tcBorders>
                  <w:vAlign w:val="center"/>
                </w:tcPr>
                <w:p>
                  <w:pPr>
                    <w:widowControl/>
                    <w:spacing w:line="240" w:lineRule="exact"/>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514" w:type="pct"/>
                  <w:gridSpan w:val="2"/>
                  <w:vMerge w:val="continue"/>
                  <w:tcBorders>
                    <w:tl2br w:val="nil"/>
                    <w:tr2bl w:val="nil"/>
                  </w:tcBorders>
                  <w:vAlign w:val="center"/>
                </w:tcPr>
                <w:p>
                  <w:pPr>
                    <w:pStyle w:val="9"/>
                    <w:spacing w:line="240" w:lineRule="exact"/>
                    <w:rPr>
                      <w:rFonts w:ascii="Times New Roman" w:hAnsi="Times New Roman"/>
                      <w:color w:val="000000" w:themeColor="text1"/>
                      <w14:textFill>
                        <w14:solidFill>
                          <w14:schemeClr w14:val="tx1"/>
                        </w14:solidFill>
                      </w14:textFill>
                    </w:rPr>
                  </w:pPr>
                </w:p>
              </w:tc>
              <w:tc>
                <w:tcPr>
                  <w:tcW w:w="1285" w:type="pct"/>
                  <w:tcBorders>
                    <w:tl2br w:val="nil"/>
                    <w:tr2bl w:val="nil"/>
                  </w:tcBorders>
                  <w:vAlign w:val="center"/>
                </w:tcPr>
                <w:p>
                  <w:pPr>
                    <w:pStyle w:val="41"/>
                    <w:spacing w:before="39"/>
                    <w:ind w:left="336" w:leftChars="0" w:right="333" w:rightChars="0"/>
                    <w:jc w:val="center"/>
                    <w:rPr>
                      <w:rFonts w:ascii="Times New Roman" w:hAnsi="Times New Roman"/>
                      <w:color w:val="000000" w:themeColor="text1"/>
                      <w:szCs w:val="21"/>
                      <w14:textFill>
                        <w14:solidFill>
                          <w14:schemeClr w14:val="tx1"/>
                        </w14:solidFill>
                      </w14:textFill>
                    </w:rPr>
                  </w:pPr>
                  <w:r>
                    <w:rPr>
                      <w:color w:val="000000" w:themeColor="text1"/>
                      <w:sz w:val="21"/>
                      <w14:textFill>
                        <w14:solidFill>
                          <w14:schemeClr w14:val="tx1"/>
                        </w14:solidFill>
                      </w14:textFill>
                    </w:rPr>
                    <w:t>出线回路数</w:t>
                  </w:r>
                </w:p>
              </w:tc>
              <w:tc>
                <w:tcPr>
                  <w:tcW w:w="587" w:type="pct"/>
                  <w:tcBorders>
                    <w:tl2br w:val="nil"/>
                    <w:tr2bl w:val="nil"/>
                  </w:tcBorders>
                  <w:vAlign w:val="center"/>
                </w:tcPr>
                <w:p>
                  <w:pPr>
                    <w:pStyle w:val="41"/>
                    <w:spacing w:before="39"/>
                    <w:jc w:val="center"/>
                    <w:rPr>
                      <w:rFonts w:ascii="Times New Roman" w:hAnsi="Times New Roman"/>
                      <w:color w:val="000000" w:themeColor="text1"/>
                      <w:szCs w:val="21"/>
                      <w14:textFill>
                        <w14:solidFill>
                          <w14:schemeClr w14:val="tx1"/>
                        </w14:solidFill>
                      </w14:textFill>
                    </w:rPr>
                  </w:pPr>
                  <w:r>
                    <w:rPr>
                      <w:color w:val="000000" w:themeColor="text1"/>
                      <w:w w:val="100"/>
                      <w:sz w:val="21"/>
                      <w14:textFill>
                        <w14:solidFill>
                          <w14:schemeClr w14:val="tx1"/>
                        </w14:solidFill>
                      </w14:textFill>
                    </w:rPr>
                    <w:t>回</w:t>
                  </w:r>
                </w:p>
              </w:tc>
              <w:tc>
                <w:tcPr>
                  <w:tcW w:w="1434" w:type="pct"/>
                  <w:tcBorders>
                    <w:tl2br w:val="nil"/>
                    <w:tr2bl w:val="nil"/>
                  </w:tcBorders>
                  <w:vAlign w:val="center"/>
                </w:tcPr>
                <w:p>
                  <w:pPr>
                    <w:pStyle w:val="41"/>
                    <w:spacing w:before="48"/>
                    <w:jc w:val="center"/>
                    <w:rPr>
                      <w:rFonts w:ascii="Times New Roman" w:hAnsi="Times New Roman"/>
                      <w:color w:val="000000" w:themeColor="text1"/>
                      <w:szCs w:val="21"/>
                      <w14:textFill>
                        <w14:solidFill>
                          <w14:schemeClr w14:val="tx1"/>
                        </w14:solidFill>
                      </w14:textFill>
                    </w:rPr>
                  </w:pPr>
                  <w:r>
                    <w:rPr>
                      <w:rFonts w:ascii="Times New Roman"/>
                      <w:color w:val="000000" w:themeColor="text1"/>
                      <w:w w:val="100"/>
                      <w:sz w:val="21"/>
                      <w14:textFill>
                        <w14:solidFill>
                          <w14:schemeClr w14:val="tx1"/>
                        </w14:solidFill>
                      </w14:textFill>
                    </w:rPr>
                    <w:t>1</w:t>
                  </w:r>
                </w:p>
              </w:tc>
              <w:tc>
                <w:tcPr>
                  <w:tcW w:w="782" w:type="pct"/>
                  <w:tcBorders>
                    <w:tl2br w:val="nil"/>
                    <w:tr2bl w:val="nil"/>
                  </w:tcBorders>
                  <w:vAlign w:val="center"/>
                </w:tcPr>
                <w:p>
                  <w:pPr>
                    <w:widowControl/>
                    <w:spacing w:line="240" w:lineRule="exact"/>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 w:type="pct"/>
                  <w:tcBorders>
                    <w:tl2br w:val="nil"/>
                    <w:tr2bl w:val="nil"/>
                  </w:tcBorders>
                  <w:vAlign w:val="center"/>
                </w:tcPr>
                <w:p>
                  <w:pPr>
                    <w:pStyle w:val="9"/>
                    <w:spacing w:line="240" w:lineRule="exact"/>
                    <w:jc w:val="center"/>
                    <w:rPr>
                      <w:rFonts w:hint="eastAsia" w:ascii="Times New Roman" w:hAnsi="Times New Roman" w:eastAsia="宋体"/>
                      <w:b/>
                      <w:bCs/>
                      <w:snapToGrid w:val="0"/>
                      <w:color w:val="000000" w:themeColor="text1"/>
                      <w:lang w:eastAsia="zh-CN"/>
                      <w14:textFill>
                        <w14:solidFill>
                          <w14:schemeClr w14:val="tx1"/>
                        </w14:solidFill>
                      </w14:textFill>
                    </w:rPr>
                  </w:pPr>
                  <w:r>
                    <w:rPr>
                      <w:rFonts w:hint="eastAsia" w:ascii="Times New Roman" w:hAnsi="Times New Roman"/>
                      <w:b/>
                      <w:bCs/>
                      <w:snapToGrid w:val="0"/>
                      <w:color w:val="000000" w:themeColor="text1"/>
                      <w:lang w:val="en-US" w:eastAsia="zh-CN"/>
                      <w14:textFill>
                        <w14:solidFill>
                          <w14:schemeClr w14:val="tx1"/>
                        </w14:solidFill>
                      </w14:textFill>
                    </w:rPr>
                    <w:t>六</w:t>
                  </w:r>
                </w:p>
              </w:tc>
              <w:tc>
                <w:tcPr>
                  <w:tcW w:w="4603" w:type="pct"/>
                  <w:gridSpan w:val="6"/>
                  <w:tcBorders>
                    <w:tl2br w:val="nil"/>
                    <w:tr2bl w:val="nil"/>
                  </w:tcBorders>
                  <w:vAlign w:val="center"/>
                </w:tcPr>
                <w:p>
                  <w:pPr>
                    <w:pStyle w:val="9"/>
                    <w:spacing w:line="240" w:lineRule="exact"/>
                    <w:jc w:val="left"/>
                    <w:rPr>
                      <w:rFonts w:ascii="Times New Roman" w:hAnsi="Times New Roman"/>
                      <w:b/>
                      <w:bCs/>
                      <w:snapToGrid w:val="0"/>
                      <w:color w:val="000000" w:themeColor="text1"/>
                      <w14:textFill>
                        <w14:solidFill>
                          <w14:schemeClr w14:val="tx1"/>
                        </w14:solidFill>
                      </w14:textFill>
                    </w:rPr>
                  </w:pPr>
                  <w:r>
                    <w:rPr>
                      <w:rFonts w:ascii="Times New Roman" w:hAnsi="Times New Roman"/>
                      <w:b/>
                      <w:bCs/>
                      <w:snapToGrid w:val="0"/>
                      <w:color w:val="000000" w:themeColor="text1"/>
                      <w14:textFill>
                        <w14:solidFill>
                          <w14:schemeClr w14:val="tx1"/>
                        </w14:solidFill>
                      </w14:textFill>
                    </w:rPr>
                    <w:t>土建结构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396" w:type="pct"/>
                  <w:vMerge w:val="restart"/>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514" w:type="pct"/>
                  <w:gridSpan w:val="2"/>
                  <w:vMerge w:val="restart"/>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风力机组基础</w:t>
                  </w:r>
                </w:p>
              </w:tc>
              <w:tc>
                <w:tcPr>
                  <w:tcW w:w="1285" w:type="pct"/>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台数</w:t>
                  </w:r>
                </w:p>
              </w:tc>
              <w:tc>
                <w:tcPr>
                  <w:tcW w:w="587"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台</w:t>
                  </w:r>
                </w:p>
              </w:tc>
              <w:tc>
                <w:tcPr>
                  <w:tcW w:w="1434" w:type="pct"/>
                  <w:tcBorders>
                    <w:tl2br w:val="nil"/>
                    <w:tr2bl w:val="nil"/>
                  </w:tcBorders>
                  <w:vAlign w:val="center"/>
                </w:tcPr>
                <w:p>
                  <w:pPr>
                    <w:widowControl/>
                    <w:spacing w:line="240" w:lineRule="exact"/>
                    <w:jc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6" w:hRule="atLeast"/>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514" w:type="pct"/>
                  <w:gridSpan w:val="2"/>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1285" w:type="pct"/>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型式</w:t>
                  </w:r>
                </w:p>
              </w:tc>
              <w:tc>
                <w:tcPr>
                  <w:tcW w:w="2804" w:type="pct"/>
                  <w:gridSpan w:val="3"/>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桩基承台基础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514" w:type="pct"/>
                  <w:gridSpan w:val="2"/>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1285" w:type="pct"/>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地基特性</w:t>
                  </w:r>
                </w:p>
              </w:tc>
              <w:tc>
                <w:tcPr>
                  <w:tcW w:w="2804" w:type="pct"/>
                  <w:gridSpan w:val="3"/>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岩石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514" w:type="pct"/>
                  <w:gridSpan w:val="2"/>
                  <w:vMerge w:val="restart"/>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箱式变电站基础</w:t>
                  </w:r>
                </w:p>
              </w:tc>
              <w:tc>
                <w:tcPr>
                  <w:tcW w:w="1285" w:type="pct"/>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台数</w:t>
                  </w:r>
                </w:p>
              </w:tc>
              <w:tc>
                <w:tcPr>
                  <w:tcW w:w="587"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台</w:t>
                  </w:r>
                </w:p>
              </w:tc>
              <w:tc>
                <w:tcPr>
                  <w:tcW w:w="1434" w:type="pct"/>
                  <w:tcBorders>
                    <w:tl2br w:val="nil"/>
                    <w:tr2bl w:val="nil"/>
                  </w:tcBorders>
                  <w:vAlign w:val="center"/>
                </w:tcPr>
                <w:p>
                  <w:pPr>
                    <w:widowControl/>
                    <w:spacing w:line="240" w:lineRule="exact"/>
                    <w:jc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514" w:type="pct"/>
                  <w:gridSpan w:val="2"/>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1285" w:type="pct"/>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型式</w:t>
                  </w:r>
                </w:p>
              </w:tc>
              <w:tc>
                <w:tcPr>
                  <w:tcW w:w="2804" w:type="pct"/>
                  <w:gridSpan w:val="3"/>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筏板基础砌体结构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514" w:type="pct"/>
                  <w:gridSpan w:val="2"/>
                  <w:vMerge w:val="restar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征地</w:t>
                  </w:r>
                </w:p>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工程量</w:t>
                  </w:r>
                </w:p>
              </w:tc>
              <w:tc>
                <w:tcPr>
                  <w:tcW w:w="1285" w:type="pct"/>
                  <w:tcBorders>
                    <w:tl2br w:val="nil"/>
                    <w:tr2bl w:val="nil"/>
                  </w:tcBorders>
                  <w:vAlign w:val="center"/>
                </w:tcPr>
                <w:p>
                  <w:pPr>
                    <w:topLinePunct/>
                    <w:adjustRightInd w:val="0"/>
                    <w:snapToGrid w:val="0"/>
                    <w:spacing w:line="34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工程永久征地</w:t>
                  </w:r>
                </w:p>
              </w:tc>
              <w:tc>
                <w:tcPr>
                  <w:tcW w:w="587" w:type="pct"/>
                  <w:tcBorders>
                    <w:tl2br w:val="nil"/>
                    <w:tr2bl w:val="nil"/>
                  </w:tcBorders>
                  <w:vAlign w:val="center"/>
                </w:tcPr>
                <w:p>
                  <w:pPr>
                    <w:topLinePunct/>
                    <w:adjustRightInd w:val="0"/>
                    <w:snapToGrid w:val="0"/>
                    <w:spacing w:line="3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hm</w:t>
                  </w:r>
                  <w:r>
                    <w:rPr>
                      <w:rFonts w:ascii="Times New Roman" w:hAnsi="Times New Roman"/>
                      <w:color w:val="000000" w:themeColor="text1"/>
                      <w:szCs w:val="21"/>
                      <w:vertAlign w:val="superscript"/>
                      <w14:textFill>
                        <w14:solidFill>
                          <w14:schemeClr w14:val="tx1"/>
                        </w14:solidFill>
                      </w14:textFill>
                    </w:rPr>
                    <w:t>2</w:t>
                  </w:r>
                </w:p>
              </w:tc>
              <w:tc>
                <w:tcPr>
                  <w:tcW w:w="1434" w:type="pct"/>
                  <w:tcBorders>
                    <w:tl2br w:val="nil"/>
                    <w:tr2bl w:val="nil"/>
                  </w:tcBorders>
                  <w:vAlign w:val="center"/>
                </w:tcPr>
                <w:p>
                  <w:pPr>
                    <w:widowControl/>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0.4708</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514" w:type="pct"/>
                  <w:gridSpan w:val="2"/>
                  <w:vMerge w:val="continue"/>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p>
              </w:tc>
              <w:tc>
                <w:tcPr>
                  <w:tcW w:w="1285" w:type="pct"/>
                  <w:tcBorders>
                    <w:tl2br w:val="nil"/>
                    <w:tr2bl w:val="nil"/>
                  </w:tcBorders>
                  <w:vAlign w:val="center"/>
                </w:tcPr>
                <w:p>
                  <w:pPr>
                    <w:topLinePunct/>
                    <w:adjustRightInd w:val="0"/>
                    <w:snapToGrid w:val="0"/>
                    <w:spacing w:line="34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土石方开挖</w:t>
                  </w:r>
                </w:p>
              </w:tc>
              <w:tc>
                <w:tcPr>
                  <w:tcW w:w="587" w:type="pct"/>
                  <w:tcBorders>
                    <w:tl2br w:val="nil"/>
                    <w:tr2bl w:val="nil"/>
                  </w:tcBorders>
                  <w:vAlign w:val="center"/>
                </w:tcPr>
                <w:p>
                  <w:pPr>
                    <w:topLinePunct/>
                    <w:adjustRightInd w:val="0"/>
                    <w:snapToGrid w:val="0"/>
                    <w:spacing w:line="3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w:t>
                  </w:r>
                  <w:r>
                    <w:rPr>
                      <w:rFonts w:ascii="Times New Roman" w:hAnsi="Times New Roman"/>
                      <w:color w:val="000000" w:themeColor="text1"/>
                      <w:szCs w:val="21"/>
                      <w:vertAlign w:val="superscript"/>
                      <w14:textFill>
                        <w14:solidFill>
                          <w14:schemeClr w14:val="tx1"/>
                        </w14:solidFill>
                      </w14:textFill>
                    </w:rPr>
                    <w:t>3</w:t>
                  </w:r>
                </w:p>
              </w:tc>
              <w:tc>
                <w:tcPr>
                  <w:tcW w:w="1434" w:type="pct"/>
                  <w:tcBorders>
                    <w:tl2br w:val="nil"/>
                    <w:tr2bl w:val="nil"/>
                  </w:tcBorders>
                  <w:vAlign w:val="center"/>
                </w:tcPr>
                <w:p>
                  <w:pPr>
                    <w:widowControl/>
                    <w:spacing w:line="240" w:lineRule="exact"/>
                    <w:jc w:val="center"/>
                    <w:rPr>
                      <w:rFonts w:ascii="Times New Roman" w:hAnsi="Times New Roman"/>
                      <w:color w:val="FF0000"/>
                      <w:szCs w:val="21"/>
                    </w:rPr>
                  </w:pPr>
                  <w:r>
                    <w:rPr>
                      <w:rFonts w:hint="eastAsia"/>
                      <w:color w:val="FF0000"/>
                      <w:szCs w:val="21"/>
                      <w:lang w:val="en-US" w:eastAsia="zh-CN"/>
                    </w:rPr>
                    <w:t>3.01</w:t>
                  </w:r>
                  <w:r>
                    <w:rPr>
                      <w:rFonts w:ascii="Times New Roman" w:hAnsi="Times New Roman"/>
                      <w:color w:val="FF0000"/>
                      <w:szCs w:val="21"/>
                    </w:rPr>
                    <w:t>万</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514" w:type="pct"/>
                  <w:gridSpan w:val="2"/>
                  <w:vMerge w:val="continue"/>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p>
              </w:tc>
              <w:tc>
                <w:tcPr>
                  <w:tcW w:w="1285" w:type="pct"/>
                  <w:tcBorders>
                    <w:tl2br w:val="nil"/>
                    <w:tr2bl w:val="nil"/>
                  </w:tcBorders>
                  <w:vAlign w:val="center"/>
                </w:tcPr>
                <w:p>
                  <w:pPr>
                    <w:topLinePunct/>
                    <w:adjustRightInd w:val="0"/>
                    <w:snapToGrid w:val="0"/>
                    <w:spacing w:line="34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土石方回填</w:t>
                  </w:r>
                </w:p>
              </w:tc>
              <w:tc>
                <w:tcPr>
                  <w:tcW w:w="587" w:type="pct"/>
                  <w:tcBorders>
                    <w:tl2br w:val="nil"/>
                    <w:tr2bl w:val="nil"/>
                  </w:tcBorders>
                  <w:vAlign w:val="center"/>
                </w:tcPr>
                <w:p>
                  <w:pPr>
                    <w:topLinePunct/>
                    <w:adjustRightInd w:val="0"/>
                    <w:snapToGrid w:val="0"/>
                    <w:spacing w:line="3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w:t>
                  </w:r>
                  <w:r>
                    <w:rPr>
                      <w:rFonts w:ascii="Times New Roman" w:hAnsi="Times New Roman"/>
                      <w:color w:val="000000" w:themeColor="text1"/>
                      <w:szCs w:val="21"/>
                      <w:vertAlign w:val="superscript"/>
                      <w14:textFill>
                        <w14:solidFill>
                          <w14:schemeClr w14:val="tx1"/>
                        </w14:solidFill>
                      </w14:textFill>
                    </w:rPr>
                    <w:t>3</w:t>
                  </w:r>
                </w:p>
              </w:tc>
              <w:tc>
                <w:tcPr>
                  <w:tcW w:w="1434" w:type="pct"/>
                  <w:tcBorders>
                    <w:tl2br w:val="nil"/>
                    <w:tr2bl w:val="nil"/>
                  </w:tcBorders>
                  <w:vAlign w:val="center"/>
                </w:tcPr>
                <w:p>
                  <w:pPr>
                    <w:widowControl/>
                    <w:spacing w:line="240" w:lineRule="exact"/>
                    <w:jc w:val="center"/>
                    <w:rPr>
                      <w:rFonts w:ascii="Times New Roman" w:hAnsi="Times New Roman"/>
                      <w:color w:val="FF0000"/>
                      <w:szCs w:val="21"/>
                    </w:rPr>
                  </w:pPr>
                  <w:r>
                    <w:rPr>
                      <w:rFonts w:hint="eastAsia"/>
                      <w:color w:val="FF0000"/>
                      <w:szCs w:val="21"/>
                      <w:lang w:val="en-US" w:eastAsia="zh-CN"/>
                    </w:rPr>
                    <w:t>3.01</w:t>
                  </w:r>
                  <w:r>
                    <w:rPr>
                      <w:rFonts w:ascii="Times New Roman" w:hAnsi="Times New Roman"/>
                      <w:color w:val="FF0000"/>
                      <w:szCs w:val="21"/>
                    </w:rPr>
                    <w:t>万</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514" w:type="pct"/>
                  <w:gridSpan w:val="2"/>
                  <w:vMerge w:val="continue"/>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p>
              </w:tc>
              <w:tc>
                <w:tcPr>
                  <w:tcW w:w="1285" w:type="pct"/>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施工期限（总工期）</w:t>
                  </w:r>
                </w:p>
              </w:tc>
              <w:tc>
                <w:tcPr>
                  <w:tcW w:w="587"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月</w:t>
                  </w:r>
                </w:p>
              </w:tc>
              <w:tc>
                <w:tcPr>
                  <w:tcW w:w="1434"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96" w:type="pct"/>
                  <w:tcBorders>
                    <w:tl2br w:val="nil"/>
                    <w:tr2bl w:val="nil"/>
                  </w:tcBorders>
                  <w:vAlign w:val="center"/>
                </w:tcPr>
                <w:p>
                  <w:pPr>
                    <w:widowControl/>
                    <w:spacing w:line="240" w:lineRule="exact"/>
                    <w:jc w:val="left"/>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六</w:t>
                  </w:r>
                </w:p>
              </w:tc>
              <w:tc>
                <w:tcPr>
                  <w:tcW w:w="4603" w:type="pct"/>
                  <w:gridSpan w:val="6"/>
                  <w:tcBorders>
                    <w:tl2br w:val="nil"/>
                    <w:tr2bl w:val="nil"/>
                  </w:tcBorders>
                  <w:vAlign w:val="center"/>
                </w:tcPr>
                <w:p>
                  <w:pPr>
                    <w:widowControl/>
                    <w:spacing w:line="240" w:lineRule="exact"/>
                    <w:jc w:val="left"/>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经济指标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restart"/>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概算指标</w:t>
                  </w:r>
                </w:p>
              </w:tc>
              <w:tc>
                <w:tcPr>
                  <w:tcW w:w="1799" w:type="pct"/>
                  <w:gridSpan w:val="3"/>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静态投资</w:t>
                  </w:r>
                  <w:r>
                    <w:rPr>
                      <w:rFonts w:ascii="Times New Roman" w:hAnsi="Times New Roman" w:eastAsia="TimesNewRomanPSMT"/>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编制年</w:t>
                  </w:r>
                  <w:r>
                    <w:rPr>
                      <w:rFonts w:ascii="Times New Roman" w:hAnsi="Times New Roman" w:eastAsia="TimesNewRomanPSMT"/>
                      <w:color w:val="000000" w:themeColor="text1"/>
                      <w14:textFill>
                        <w14:solidFill>
                          <w14:schemeClr w14:val="tx1"/>
                        </w14:solidFill>
                      </w14:textFill>
                    </w:rPr>
                    <w:t>)</w:t>
                  </w:r>
                </w:p>
              </w:tc>
              <w:tc>
                <w:tcPr>
                  <w:tcW w:w="587" w:type="pct"/>
                  <w:tcBorders>
                    <w:tl2br w:val="nil"/>
                    <w:tr2bl w:val="nil"/>
                  </w:tcBorders>
                  <w:vAlign w:val="top"/>
                </w:tcPr>
                <w:p>
                  <w:pPr>
                    <w:pStyle w:val="41"/>
                    <w:spacing w:before="49"/>
                    <w:jc w:val="center"/>
                    <w:rPr>
                      <w:rFonts w:ascii="Times New Roman" w:hAnsi="Times New Roman"/>
                      <w:color w:val="000000" w:themeColor="text1"/>
                      <w:szCs w:val="21"/>
                      <w14:textFill>
                        <w14:solidFill>
                          <w14:schemeClr w14:val="tx1"/>
                        </w14:solidFill>
                      </w14:textFill>
                    </w:rPr>
                  </w:pPr>
                  <w:r>
                    <w:rPr>
                      <w:color w:val="000000" w:themeColor="text1"/>
                      <w:sz w:val="21"/>
                      <w14:textFill>
                        <w14:solidFill>
                          <w14:schemeClr w14:val="tx1"/>
                        </w14:solidFill>
                      </w14:textFill>
                    </w:rPr>
                    <w:t>万元</w:t>
                  </w:r>
                </w:p>
              </w:tc>
              <w:tc>
                <w:tcPr>
                  <w:tcW w:w="1434" w:type="pct"/>
                  <w:tcBorders>
                    <w:tl2br w:val="nil"/>
                    <w:tr2bl w:val="nil"/>
                  </w:tcBorders>
                  <w:vAlign w:val="top"/>
                </w:tcPr>
                <w:p>
                  <w:pPr>
                    <w:bidi w:val="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16857.68</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1799" w:type="pct"/>
                  <w:gridSpan w:val="3"/>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动态投资</w:t>
                  </w:r>
                </w:p>
              </w:tc>
              <w:tc>
                <w:tcPr>
                  <w:tcW w:w="587" w:type="pct"/>
                  <w:tcBorders>
                    <w:tl2br w:val="nil"/>
                    <w:tr2bl w:val="nil"/>
                  </w:tcBorders>
                  <w:vAlign w:val="top"/>
                </w:tcPr>
                <w:p>
                  <w:pPr>
                    <w:pStyle w:val="41"/>
                    <w:spacing w:before="49"/>
                    <w:jc w:val="center"/>
                    <w:rPr>
                      <w:rFonts w:ascii="Times New Roman" w:hAnsi="Times New Roman"/>
                      <w:color w:val="000000" w:themeColor="text1"/>
                      <w:szCs w:val="21"/>
                      <w14:textFill>
                        <w14:solidFill>
                          <w14:schemeClr w14:val="tx1"/>
                        </w14:solidFill>
                      </w14:textFill>
                    </w:rPr>
                  </w:pPr>
                  <w:r>
                    <w:rPr>
                      <w:color w:val="000000" w:themeColor="text1"/>
                      <w:sz w:val="21"/>
                      <w14:textFill>
                        <w14:solidFill>
                          <w14:schemeClr w14:val="tx1"/>
                        </w14:solidFill>
                      </w14:textFill>
                    </w:rPr>
                    <w:t>万元</w:t>
                  </w:r>
                </w:p>
              </w:tc>
              <w:tc>
                <w:tcPr>
                  <w:tcW w:w="1434" w:type="pct"/>
                  <w:tcBorders>
                    <w:tl2br w:val="nil"/>
                    <w:tr2bl w:val="nil"/>
                  </w:tcBorders>
                  <w:vAlign w:val="top"/>
                </w:tcPr>
                <w:p>
                  <w:pPr>
                    <w:bidi w:val="0"/>
                    <w:jc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17001.71</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1799" w:type="pct"/>
                  <w:gridSpan w:val="3"/>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单位千瓦静态投资</w:t>
                  </w:r>
                </w:p>
              </w:tc>
              <w:tc>
                <w:tcPr>
                  <w:tcW w:w="587" w:type="pct"/>
                  <w:tcBorders>
                    <w:tl2br w:val="nil"/>
                    <w:tr2bl w:val="nil"/>
                  </w:tcBorders>
                  <w:vAlign w:val="top"/>
                </w:tcPr>
                <w:p>
                  <w:pPr>
                    <w:pStyle w:val="41"/>
                    <w:spacing w:before="49"/>
                    <w:jc w:val="center"/>
                    <w:rPr>
                      <w:rFonts w:ascii="Times New Roman" w:hAnsi="Times New Roman"/>
                      <w:color w:val="000000" w:themeColor="text1"/>
                      <w:szCs w:val="21"/>
                      <w14:textFill>
                        <w14:solidFill>
                          <w14:schemeClr w14:val="tx1"/>
                        </w14:solidFill>
                      </w14:textFill>
                    </w:rPr>
                  </w:pPr>
                  <w:r>
                    <w:rPr>
                      <w:color w:val="000000" w:themeColor="text1"/>
                      <w:sz w:val="21"/>
                      <w14:textFill>
                        <w14:solidFill>
                          <w14:schemeClr w14:val="tx1"/>
                        </w14:solidFill>
                      </w14:textFill>
                    </w:rPr>
                    <w:t>元</w:t>
                  </w:r>
                  <w:r>
                    <w:rPr>
                      <w:rFonts w:ascii="Times New Roman" w:eastAsia="Times New Roman"/>
                      <w:color w:val="000000" w:themeColor="text1"/>
                      <w:sz w:val="21"/>
                      <w14:textFill>
                        <w14:solidFill>
                          <w14:schemeClr w14:val="tx1"/>
                        </w14:solidFill>
                      </w14:textFill>
                    </w:rPr>
                    <w:t>/kW</w:t>
                  </w:r>
                </w:p>
              </w:tc>
              <w:tc>
                <w:tcPr>
                  <w:tcW w:w="1434" w:type="pct"/>
                  <w:tcBorders>
                    <w:tl2br w:val="nil"/>
                    <w:tr2bl w:val="nil"/>
                  </w:tcBorders>
                  <w:vAlign w:val="top"/>
                </w:tcPr>
                <w:p>
                  <w:pPr>
                    <w:bidi w:val="0"/>
                    <w:jc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8428.84</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1799" w:type="pct"/>
                  <w:gridSpan w:val="3"/>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单位千瓦动态投资</w:t>
                  </w:r>
                </w:p>
              </w:tc>
              <w:tc>
                <w:tcPr>
                  <w:tcW w:w="587" w:type="pct"/>
                  <w:tcBorders>
                    <w:tl2br w:val="nil"/>
                    <w:tr2bl w:val="nil"/>
                  </w:tcBorders>
                  <w:vAlign w:val="top"/>
                </w:tcPr>
                <w:p>
                  <w:pPr>
                    <w:pStyle w:val="41"/>
                    <w:spacing w:before="49"/>
                    <w:jc w:val="center"/>
                    <w:rPr>
                      <w:rFonts w:ascii="Times New Roman" w:hAnsi="Times New Roman"/>
                      <w:color w:val="000000" w:themeColor="text1"/>
                      <w:szCs w:val="21"/>
                      <w14:textFill>
                        <w14:solidFill>
                          <w14:schemeClr w14:val="tx1"/>
                        </w14:solidFill>
                      </w14:textFill>
                    </w:rPr>
                  </w:pPr>
                  <w:r>
                    <w:rPr>
                      <w:color w:val="000000" w:themeColor="text1"/>
                      <w:sz w:val="21"/>
                      <w14:textFill>
                        <w14:solidFill>
                          <w14:schemeClr w14:val="tx1"/>
                        </w14:solidFill>
                      </w14:textFill>
                    </w:rPr>
                    <w:t>元</w:t>
                  </w:r>
                  <w:r>
                    <w:rPr>
                      <w:rFonts w:ascii="Times New Roman" w:eastAsia="Times New Roman"/>
                      <w:color w:val="000000" w:themeColor="text1"/>
                      <w:sz w:val="21"/>
                      <w14:textFill>
                        <w14:solidFill>
                          <w14:schemeClr w14:val="tx1"/>
                        </w14:solidFill>
                      </w14:textFill>
                    </w:rPr>
                    <w:t>/kW</w:t>
                  </w:r>
                </w:p>
              </w:tc>
              <w:tc>
                <w:tcPr>
                  <w:tcW w:w="1434" w:type="pct"/>
                  <w:tcBorders>
                    <w:tl2br w:val="nil"/>
                    <w:tr2bl w:val="nil"/>
                  </w:tcBorders>
                  <w:vAlign w:val="top"/>
                </w:tcPr>
                <w:p>
                  <w:pPr>
                    <w:bidi w:val="0"/>
                    <w:jc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8500.86</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1799" w:type="pct"/>
                  <w:gridSpan w:val="3"/>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施工辅助工程</w:t>
                  </w:r>
                </w:p>
              </w:tc>
              <w:tc>
                <w:tcPr>
                  <w:tcW w:w="587" w:type="pct"/>
                  <w:tcBorders>
                    <w:tl2br w:val="nil"/>
                    <w:tr2bl w:val="nil"/>
                  </w:tcBorders>
                  <w:vAlign w:val="top"/>
                </w:tcPr>
                <w:p>
                  <w:pPr>
                    <w:pStyle w:val="41"/>
                    <w:spacing w:before="49"/>
                    <w:jc w:val="center"/>
                    <w:rPr>
                      <w:rFonts w:ascii="Times New Roman" w:hAnsi="Times New Roman"/>
                      <w:color w:val="000000" w:themeColor="text1"/>
                      <w:szCs w:val="21"/>
                      <w14:textFill>
                        <w14:solidFill>
                          <w14:schemeClr w14:val="tx1"/>
                        </w14:solidFill>
                      </w14:textFill>
                    </w:rPr>
                  </w:pPr>
                  <w:r>
                    <w:rPr>
                      <w:color w:val="000000" w:themeColor="text1"/>
                      <w:sz w:val="21"/>
                      <w14:textFill>
                        <w14:solidFill>
                          <w14:schemeClr w14:val="tx1"/>
                        </w14:solidFill>
                      </w14:textFill>
                    </w:rPr>
                    <w:t>万元</w:t>
                  </w:r>
                </w:p>
              </w:tc>
              <w:tc>
                <w:tcPr>
                  <w:tcW w:w="1434" w:type="pct"/>
                  <w:tcBorders>
                    <w:tl2br w:val="nil"/>
                    <w:tr2bl w:val="nil"/>
                  </w:tcBorders>
                  <w:vAlign w:val="top"/>
                </w:tcPr>
                <w:p>
                  <w:pPr>
                    <w:bidi w:val="0"/>
                    <w:jc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202.64</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1799" w:type="pct"/>
                  <w:gridSpan w:val="3"/>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设备及安装工程</w:t>
                  </w:r>
                </w:p>
              </w:tc>
              <w:tc>
                <w:tcPr>
                  <w:tcW w:w="587" w:type="pct"/>
                  <w:tcBorders>
                    <w:tl2br w:val="nil"/>
                    <w:tr2bl w:val="nil"/>
                  </w:tcBorders>
                  <w:vAlign w:val="top"/>
                </w:tcPr>
                <w:p>
                  <w:pPr>
                    <w:pStyle w:val="41"/>
                    <w:spacing w:before="49"/>
                    <w:jc w:val="center"/>
                    <w:rPr>
                      <w:rFonts w:ascii="Times New Roman" w:hAnsi="Times New Roman"/>
                      <w:color w:val="000000" w:themeColor="text1"/>
                      <w:szCs w:val="21"/>
                      <w14:textFill>
                        <w14:solidFill>
                          <w14:schemeClr w14:val="tx1"/>
                        </w14:solidFill>
                      </w14:textFill>
                    </w:rPr>
                  </w:pPr>
                  <w:r>
                    <w:rPr>
                      <w:color w:val="000000" w:themeColor="text1"/>
                      <w:sz w:val="21"/>
                      <w14:textFill>
                        <w14:solidFill>
                          <w14:schemeClr w14:val="tx1"/>
                        </w14:solidFill>
                      </w14:textFill>
                    </w:rPr>
                    <w:t>万元</w:t>
                  </w:r>
                </w:p>
              </w:tc>
              <w:tc>
                <w:tcPr>
                  <w:tcW w:w="1434" w:type="pct"/>
                  <w:tcBorders>
                    <w:tl2br w:val="nil"/>
                    <w:tr2bl w:val="nil"/>
                  </w:tcBorders>
                  <w:vAlign w:val="top"/>
                </w:tcPr>
                <w:p>
                  <w:pPr>
                    <w:bidi w:val="0"/>
                    <w:jc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12136.56</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1799" w:type="pct"/>
                  <w:gridSpan w:val="3"/>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建筑工程</w:t>
                  </w:r>
                </w:p>
              </w:tc>
              <w:tc>
                <w:tcPr>
                  <w:tcW w:w="587" w:type="pct"/>
                  <w:tcBorders>
                    <w:tl2br w:val="nil"/>
                    <w:tr2bl w:val="nil"/>
                  </w:tcBorders>
                  <w:vAlign w:val="top"/>
                </w:tcPr>
                <w:p>
                  <w:pPr>
                    <w:pStyle w:val="41"/>
                    <w:spacing w:before="49"/>
                    <w:jc w:val="center"/>
                    <w:rPr>
                      <w:rFonts w:ascii="Times New Roman" w:hAnsi="Times New Roman"/>
                      <w:color w:val="000000" w:themeColor="text1"/>
                      <w:szCs w:val="21"/>
                      <w14:textFill>
                        <w14:solidFill>
                          <w14:schemeClr w14:val="tx1"/>
                        </w14:solidFill>
                      </w14:textFill>
                    </w:rPr>
                  </w:pPr>
                  <w:r>
                    <w:rPr>
                      <w:color w:val="000000" w:themeColor="text1"/>
                      <w:sz w:val="21"/>
                      <w14:textFill>
                        <w14:solidFill>
                          <w14:schemeClr w14:val="tx1"/>
                        </w14:solidFill>
                      </w14:textFill>
                    </w:rPr>
                    <w:t>万元</w:t>
                  </w:r>
                </w:p>
              </w:tc>
              <w:tc>
                <w:tcPr>
                  <w:tcW w:w="1434" w:type="pct"/>
                  <w:tcBorders>
                    <w:tl2br w:val="nil"/>
                    <w:tr2bl w:val="nil"/>
                  </w:tcBorders>
                  <w:vAlign w:val="top"/>
                </w:tcPr>
                <w:p>
                  <w:pPr>
                    <w:bidi w:val="0"/>
                    <w:jc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1672.69</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1799" w:type="pct"/>
                  <w:gridSpan w:val="3"/>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其他费用</w:t>
                  </w:r>
                </w:p>
              </w:tc>
              <w:tc>
                <w:tcPr>
                  <w:tcW w:w="587" w:type="pct"/>
                  <w:tcBorders>
                    <w:tl2br w:val="nil"/>
                    <w:tr2bl w:val="nil"/>
                  </w:tcBorders>
                  <w:vAlign w:val="top"/>
                </w:tcPr>
                <w:p>
                  <w:pPr>
                    <w:pStyle w:val="41"/>
                    <w:spacing w:before="49"/>
                    <w:jc w:val="center"/>
                    <w:rPr>
                      <w:rFonts w:ascii="Times New Roman" w:hAnsi="Times New Roman"/>
                      <w:color w:val="000000" w:themeColor="text1"/>
                      <w:szCs w:val="21"/>
                      <w14:textFill>
                        <w14:solidFill>
                          <w14:schemeClr w14:val="tx1"/>
                        </w14:solidFill>
                      </w14:textFill>
                    </w:rPr>
                  </w:pPr>
                  <w:r>
                    <w:rPr>
                      <w:color w:val="000000" w:themeColor="text1"/>
                      <w:sz w:val="21"/>
                      <w14:textFill>
                        <w14:solidFill>
                          <w14:schemeClr w14:val="tx1"/>
                        </w14:solidFill>
                      </w14:textFill>
                    </w:rPr>
                    <w:t>万元</w:t>
                  </w:r>
                </w:p>
              </w:tc>
              <w:tc>
                <w:tcPr>
                  <w:tcW w:w="1434" w:type="pct"/>
                  <w:tcBorders>
                    <w:tl2br w:val="nil"/>
                    <w:tr2bl w:val="nil"/>
                  </w:tcBorders>
                  <w:vAlign w:val="top"/>
                </w:tcPr>
                <w:p>
                  <w:pPr>
                    <w:bidi w:val="0"/>
                    <w:jc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2091.99</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1799" w:type="pct"/>
                  <w:gridSpan w:val="3"/>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基本预备费</w:t>
                  </w:r>
                </w:p>
              </w:tc>
              <w:tc>
                <w:tcPr>
                  <w:tcW w:w="587" w:type="pct"/>
                  <w:tcBorders>
                    <w:tl2br w:val="nil"/>
                    <w:tr2bl w:val="nil"/>
                  </w:tcBorders>
                  <w:vAlign w:val="top"/>
                </w:tcPr>
                <w:p>
                  <w:pPr>
                    <w:pStyle w:val="41"/>
                    <w:spacing w:before="51"/>
                    <w:jc w:val="center"/>
                    <w:rPr>
                      <w:rFonts w:ascii="Times New Roman" w:hAnsi="Times New Roman"/>
                      <w:color w:val="000000" w:themeColor="text1"/>
                      <w14:textFill>
                        <w14:solidFill>
                          <w14:schemeClr w14:val="tx1"/>
                        </w14:solidFill>
                      </w14:textFill>
                    </w:rPr>
                  </w:pPr>
                  <w:r>
                    <w:rPr>
                      <w:color w:val="000000" w:themeColor="text1"/>
                      <w:sz w:val="21"/>
                      <w14:textFill>
                        <w14:solidFill>
                          <w14:schemeClr w14:val="tx1"/>
                        </w14:solidFill>
                      </w14:textFill>
                    </w:rPr>
                    <w:t>万元</w:t>
                  </w:r>
                </w:p>
              </w:tc>
              <w:tc>
                <w:tcPr>
                  <w:tcW w:w="1434" w:type="pct"/>
                  <w:tcBorders>
                    <w:tl2br w:val="nil"/>
                    <w:tr2bl w:val="nil"/>
                  </w:tcBorders>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322.08</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1799" w:type="pct"/>
                  <w:gridSpan w:val="3"/>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color w:val="000000" w:themeColor="text1"/>
                      <w:sz w:val="21"/>
                      <w14:textFill>
                        <w14:solidFill>
                          <w14:schemeClr w14:val="tx1"/>
                        </w14:solidFill>
                      </w14:textFill>
                    </w:rPr>
                    <w:t>价差预备费</w:t>
                  </w:r>
                </w:p>
              </w:tc>
              <w:tc>
                <w:tcPr>
                  <w:tcW w:w="587" w:type="pct"/>
                  <w:tcBorders>
                    <w:tl2br w:val="nil"/>
                    <w:tr2bl w:val="nil"/>
                  </w:tcBorders>
                  <w:vAlign w:val="top"/>
                </w:tcPr>
                <w:p>
                  <w:pPr>
                    <w:pStyle w:val="41"/>
                    <w:spacing w:before="52"/>
                    <w:jc w:val="center"/>
                    <w:rPr>
                      <w:rFonts w:ascii="Times New Roman" w:hAnsi="Times New Roman"/>
                      <w:color w:val="000000" w:themeColor="text1"/>
                      <w:szCs w:val="21"/>
                      <w14:textFill>
                        <w14:solidFill>
                          <w14:schemeClr w14:val="tx1"/>
                        </w14:solidFill>
                      </w14:textFill>
                    </w:rPr>
                  </w:pPr>
                  <w:r>
                    <w:rPr>
                      <w:color w:val="000000" w:themeColor="text1"/>
                      <w:sz w:val="21"/>
                      <w14:textFill>
                        <w14:solidFill>
                          <w14:schemeClr w14:val="tx1"/>
                        </w14:solidFill>
                      </w14:textFill>
                    </w:rPr>
                    <w:t>万元</w:t>
                  </w:r>
                </w:p>
              </w:tc>
              <w:tc>
                <w:tcPr>
                  <w:tcW w:w="1434" w:type="pct"/>
                  <w:tcBorders>
                    <w:tl2br w:val="nil"/>
                    <w:tr2bl w:val="nil"/>
                  </w:tcBorders>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1799" w:type="pct"/>
                  <w:gridSpan w:val="3"/>
                  <w:tcBorders>
                    <w:tl2br w:val="nil"/>
                    <w:tr2bl w:val="nil"/>
                  </w:tcBorders>
                  <w:vAlign w:val="center"/>
                </w:tcPr>
                <w:p>
                  <w:pPr>
                    <w:widowControl/>
                    <w:spacing w:line="24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建设期利息</w:t>
                  </w:r>
                </w:p>
              </w:tc>
              <w:tc>
                <w:tcPr>
                  <w:tcW w:w="587" w:type="pct"/>
                  <w:tcBorders>
                    <w:tl2br w:val="nil"/>
                    <w:tr2bl w:val="nil"/>
                  </w:tcBorders>
                  <w:vAlign w:val="top"/>
                </w:tcPr>
                <w:p>
                  <w:pPr>
                    <w:pStyle w:val="41"/>
                    <w:spacing w:before="51"/>
                    <w:jc w:val="center"/>
                    <w:rPr>
                      <w:rFonts w:ascii="Times New Roman" w:hAnsi="Times New Roman"/>
                      <w:color w:val="000000" w:themeColor="text1"/>
                      <w14:textFill>
                        <w14:solidFill>
                          <w14:schemeClr w14:val="tx1"/>
                        </w14:solidFill>
                      </w14:textFill>
                    </w:rPr>
                  </w:pPr>
                  <w:r>
                    <w:rPr>
                      <w:color w:val="000000" w:themeColor="text1"/>
                      <w:sz w:val="21"/>
                      <w14:textFill>
                        <w14:solidFill>
                          <w14:schemeClr w14:val="tx1"/>
                        </w14:solidFill>
                      </w14:textFill>
                    </w:rPr>
                    <w:t>万元</w:t>
                  </w:r>
                </w:p>
              </w:tc>
              <w:tc>
                <w:tcPr>
                  <w:tcW w:w="1434" w:type="pct"/>
                  <w:tcBorders>
                    <w:tl2br w:val="nil"/>
                    <w:tr2bl w:val="nil"/>
                  </w:tcBorders>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144.03</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restart"/>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经济指标</w:t>
                  </w:r>
                </w:p>
              </w:tc>
              <w:tc>
                <w:tcPr>
                  <w:tcW w:w="1799" w:type="pct"/>
                  <w:gridSpan w:val="3"/>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装机容量</w:t>
                  </w:r>
                </w:p>
              </w:tc>
              <w:tc>
                <w:tcPr>
                  <w:tcW w:w="587"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MW</w:t>
                  </w:r>
                </w:p>
              </w:tc>
              <w:tc>
                <w:tcPr>
                  <w:tcW w:w="1434" w:type="pct"/>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1799" w:type="pct"/>
                  <w:gridSpan w:val="3"/>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年上网电量 </w:t>
                  </w:r>
                </w:p>
              </w:tc>
              <w:tc>
                <w:tcPr>
                  <w:tcW w:w="587"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万/kW</w:t>
                  </w:r>
                  <w:r>
                    <w:rPr>
                      <w:rFonts w:ascii="Times New Roman" w:hAnsi="Times New Roman"/>
                      <w:color w:val="000000" w:themeColor="text1"/>
                      <w:szCs w:val="21"/>
                      <w14:textFill>
                        <w14:solidFill>
                          <w14:schemeClr w14:val="tx1"/>
                        </w14:solidFill>
                      </w14:textFill>
                    </w:rPr>
                    <w:sym w:font="Symbol" w:char="F0D7"/>
                  </w:r>
                  <w:r>
                    <w:rPr>
                      <w:rFonts w:ascii="Times New Roman" w:hAnsi="Times New Roman"/>
                      <w:color w:val="000000" w:themeColor="text1"/>
                      <w:szCs w:val="21"/>
                      <w14:textFill>
                        <w14:solidFill>
                          <w14:schemeClr w14:val="tx1"/>
                        </w14:solidFill>
                      </w14:textFill>
                    </w:rPr>
                    <w:t>h</w:t>
                  </w:r>
                </w:p>
              </w:tc>
              <w:tc>
                <w:tcPr>
                  <w:tcW w:w="1434" w:type="pct"/>
                  <w:tcBorders>
                    <w:tl2br w:val="nil"/>
                    <w:tr2bl w:val="nil"/>
                  </w:tcBorders>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4144.14</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1799" w:type="pct"/>
                  <w:gridSpan w:val="3"/>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年等效满负荷小时数 </w:t>
                  </w:r>
                </w:p>
              </w:tc>
              <w:tc>
                <w:tcPr>
                  <w:tcW w:w="587"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c>
                <w:tcPr>
                  <w:tcW w:w="1434" w:type="pct"/>
                  <w:tcBorders>
                    <w:tl2br w:val="nil"/>
                    <w:tr2bl w:val="nil"/>
                  </w:tcBorders>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2207</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1799" w:type="pct"/>
                  <w:gridSpan w:val="3"/>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平均含税上网电价 </w:t>
                  </w:r>
                </w:p>
              </w:tc>
              <w:tc>
                <w:tcPr>
                  <w:tcW w:w="587"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元/kW</w:t>
                  </w:r>
                  <w:r>
                    <w:rPr>
                      <w:rFonts w:ascii="Times New Roman" w:hAnsi="Times New Roman"/>
                      <w:color w:val="000000" w:themeColor="text1"/>
                      <w:szCs w:val="21"/>
                      <w14:textFill>
                        <w14:solidFill>
                          <w14:schemeClr w14:val="tx1"/>
                        </w14:solidFill>
                      </w14:textFill>
                    </w:rPr>
                    <w:sym w:font="Symbol" w:char="F0D7"/>
                  </w:r>
                  <w:r>
                    <w:rPr>
                      <w:rFonts w:ascii="Times New Roman" w:hAnsi="Times New Roman"/>
                      <w:color w:val="000000" w:themeColor="text1"/>
                      <w:szCs w:val="21"/>
                      <w14:textFill>
                        <w14:solidFill>
                          <w14:schemeClr w14:val="tx1"/>
                        </w14:solidFill>
                      </w14:textFill>
                    </w:rPr>
                    <w:t>h</w:t>
                  </w:r>
                </w:p>
              </w:tc>
              <w:tc>
                <w:tcPr>
                  <w:tcW w:w="1434" w:type="pct"/>
                  <w:tcBorders>
                    <w:tl2br w:val="nil"/>
                    <w:tr2bl w:val="nil"/>
                  </w:tcBorders>
                  <w:vAlign w:val="top"/>
                </w:tcPr>
                <w:p>
                  <w:pPr>
                    <w:bidi w:val="0"/>
                    <w:jc w:val="center"/>
                    <w:rPr>
                      <w:color w:val="000000" w:themeColor="text1"/>
                      <w14:textFill>
                        <w14:solidFill>
                          <w14:schemeClr w14:val="tx1"/>
                        </w14:solidFill>
                      </w14:textFill>
                    </w:rPr>
                  </w:pPr>
                  <w:r>
                    <w:rPr>
                      <w:color w:val="000000" w:themeColor="text1"/>
                      <w14:textFill>
                        <w14:solidFill>
                          <w14:schemeClr w14:val="tx1"/>
                        </w14:solidFill>
                      </w14:textFill>
                    </w:rPr>
                    <w:t>0.52</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362" w:type="pct"/>
                  <w:vMerge w:val="restart"/>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盈利能力指标</w:t>
                  </w:r>
                </w:p>
              </w:tc>
              <w:tc>
                <w:tcPr>
                  <w:tcW w:w="1437" w:type="pct"/>
                  <w:gridSpan w:val="2"/>
                  <w:tcBorders>
                    <w:tl2br w:val="nil"/>
                    <w:tr2bl w:val="nil"/>
                  </w:tcBorders>
                  <w:vAlign w:val="top"/>
                </w:tcPr>
                <w:p>
                  <w:pPr>
                    <w:widowControl/>
                    <w:spacing w:line="24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项目投资财务内部收益率（税前）</w:t>
                  </w:r>
                </w:p>
              </w:tc>
              <w:tc>
                <w:tcPr>
                  <w:tcW w:w="587" w:type="pct"/>
                  <w:tcBorders>
                    <w:tl2br w:val="nil"/>
                    <w:tr2bl w:val="nil"/>
                  </w:tcBorders>
                  <w:vAlign w:val="center"/>
                </w:tcPr>
                <w:p>
                  <w:pPr>
                    <w:widowControl/>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1434" w:type="pct"/>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9.20</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362"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1437" w:type="pct"/>
                  <w:gridSpan w:val="2"/>
                  <w:tcBorders>
                    <w:tl2br w:val="nil"/>
                    <w:tr2bl w:val="nil"/>
                  </w:tcBorders>
                  <w:vAlign w:val="top"/>
                </w:tcPr>
                <w:p>
                  <w:pPr>
                    <w:widowControl/>
                    <w:spacing w:line="24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项目投资财务内部收益率（税后）</w:t>
                  </w:r>
                </w:p>
              </w:tc>
              <w:tc>
                <w:tcPr>
                  <w:tcW w:w="587"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1434" w:type="pct"/>
                  <w:tcBorders>
                    <w:tl2br w:val="nil"/>
                    <w:tr2bl w:val="nil"/>
                  </w:tcBorders>
                  <w:vAlign w:val="center"/>
                </w:tcPr>
                <w:p>
                  <w:pPr>
                    <w:bidi w:val="0"/>
                    <w:jc w:val="center"/>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8.01</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362"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1437" w:type="pct"/>
                  <w:gridSpan w:val="2"/>
                  <w:tcBorders>
                    <w:tl2br w:val="nil"/>
                    <w:tr2bl w:val="nil"/>
                  </w:tcBorders>
                  <w:vAlign w:val="top"/>
                </w:tcPr>
                <w:p>
                  <w:pPr>
                    <w:widowControl/>
                    <w:spacing w:line="24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资本金财务内部收益率</w:t>
                  </w:r>
                </w:p>
              </w:tc>
              <w:tc>
                <w:tcPr>
                  <w:tcW w:w="587"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1434" w:type="pct"/>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12.66</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362"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1437" w:type="pct"/>
                  <w:gridSpan w:val="2"/>
                  <w:tcBorders>
                    <w:tl2br w:val="nil"/>
                    <w:tr2bl w:val="nil"/>
                  </w:tcBorders>
                  <w:vAlign w:val="top"/>
                </w:tcPr>
                <w:p>
                  <w:pPr>
                    <w:widowControl/>
                    <w:spacing w:line="24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总投资收益率</w:t>
                  </w:r>
                </w:p>
              </w:tc>
              <w:tc>
                <w:tcPr>
                  <w:tcW w:w="587"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1434" w:type="pct"/>
                  <w:tcBorders>
                    <w:tl2br w:val="nil"/>
                    <w:tr2bl w:val="nil"/>
                  </w:tcBorders>
                  <w:vAlign w:val="center"/>
                </w:tcPr>
                <w:p>
                  <w:pPr>
                    <w:widowControl/>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5.75</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362"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1437" w:type="pct"/>
                  <w:gridSpan w:val="2"/>
                  <w:tcBorders>
                    <w:tl2br w:val="nil"/>
                    <w:tr2bl w:val="nil"/>
                  </w:tcBorders>
                  <w:vAlign w:val="top"/>
                </w:tcPr>
                <w:p>
                  <w:pPr>
                    <w:widowControl/>
                    <w:spacing w:line="24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投资利税率</w:t>
                  </w:r>
                </w:p>
              </w:tc>
              <w:tc>
                <w:tcPr>
                  <w:tcW w:w="587"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1434" w:type="pct"/>
                  <w:tcBorders>
                    <w:tl2br w:val="nil"/>
                    <w:tr2bl w:val="nil"/>
                  </w:tcBorders>
                  <w:vAlign w:val="center"/>
                </w:tcPr>
                <w:p>
                  <w:pPr>
                    <w:widowControl/>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4.48</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362"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1437" w:type="pct"/>
                  <w:gridSpan w:val="2"/>
                  <w:tcBorders>
                    <w:tl2br w:val="nil"/>
                    <w:tr2bl w:val="nil"/>
                  </w:tcBorders>
                  <w:vAlign w:val="top"/>
                </w:tcPr>
                <w:p>
                  <w:pPr>
                    <w:widowControl/>
                    <w:spacing w:line="24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资本金净利润率</w:t>
                  </w:r>
                </w:p>
              </w:tc>
              <w:tc>
                <w:tcPr>
                  <w:tcW w:w="587"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1434" w:type="pct"/>
                  <w:tcBorders>
                    <w:tl2br w:val="nil"/>
                    <w:tr2bl w:val="nil"/>
                  </w:tcBorders>
                  <w:vAlign w:val="center"/>
                </w:tcPr>
                <w:p>
                  <w:pPr>
                    <w:widowControl/>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11.22</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362"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1437" w:type="pct"/>
                  <w:gridSpan w:val="2"/>
                  <w:tcBorders>
                    <w:tl2br w:val="nil"/>
                    <w:tr2bl w:val="nil"/>
                  </w:tcBorders>
                  <w:vAlign w:val="top"/>
                </w:tcPr>
                <w:p>
                  <w:pPr>
                    <w:widowControl/>
                    <w:spacing w:line="24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投资回收期（税后）</w:t>
                  </w:r>
                </w:p>
              </w:tc>
              <w:tc>
                <w:tcPr>
                  <w:tcW w:w="587"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1434" w:type="pct"/>
                  <w:tcBorders>
                    <w:tl2br w:val="nil"/>
                    <w:tr2bl w:val="nil"/>
                  </w:tcBorders>
                  <w:vAlign w:val="center"/>
                </w:tcPr>
                <w:p>
                  <w:pPr>
                    <w:widowControl/>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10.26</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362" w:type="pct"/>
                  <w:vMerge w:val="continue"/>
                  <w:tcBorders>
                    <w:tl2br w:val="nil"/>
                    <w:tr2bl w:val="nil"/>
                  </w:tcBorders>
                  <w:vAlign w:val="center"/>
                </w:tcPr>
                <w:p>
                  <w:pPr>
                    <w:widowControl/>
                    <w:spacing w:line="240" w:lineRule="exact"/>
                    <w:jc w:val="left"/>
                    <w:rPr>
                      <w:rFonts w:ascii="Times New Roman" w:hAnsi="Times New Roman"/>
                      <w:color w:val="000000" w:themeColor="text1"/>
                      <w:szCs w:val="21"/>
                      <w14:textFill>
                        <w14:solidFill>
                          <w14:schemeClr w14:val="tx1"/>
                        </w14:solidFill>
                      </w14:textFill>
                    </w:rPr>
                  </w:pPr>
                </w:p>
              </w:tc>
              <w:tc>
                <w:tcPr>
                  <w:tcW w:w="1437" w:type="pct"/>
                  <w:gridSpan w:val="2"/>
                  <w:tcBorders>
                    <w:tl2br w:val="nil"/>
                    <w:tr2bl w:val="nil"/>
                  </w:tcBorders>
                  <w:vAlign w:val="top"/>
                </w:tcPr>
                <w:p>
                  <w:pPr>
                    <w:widowControl/>
                    <w:spacing w:line="24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借款偿还期</w:t>
                  </w:r>
                </w:p>
              </w:tc>
              <w:tc>
                <w:tcPr>
                  <w:tcW w:w="587" w:type="pct"/>
                  <w:tcBorders>
                    <w:tl2br w:val="nil"/>
                    <w:tr2bl w:val="nil"/>
                  </w:tcBorders>
                  <w:vAlign w:val="center"/>
                </w:tcPr>
                <w:p>
                  <w:pPr>
                    <w:widowControl/>
                    <w:spacing w:line="240" w:lineRule="exact"/>
                    <w:jc w:val="center"/>
                    <w:rPr>
                      <w:rFonts w:hint="default" w:ascii="Times New Roman" w:hAnsi="Times New Roman"/>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1434" w:type="pct"/>
                  <w:tcBorders>
                    <w:tl2br w:val="nil"/>
                    <w:tr2bl w:val="nil"/>
                  </w:tcBorders>
                  <w:vAlign w:val="center"/>
                </w:tcPr>
                <w:p>
                  <w:pPr>
                    <w:widowControl/>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15</w:t>
                  </w:r>
                </w:p>
              </w:tc>
              <w:tc>
                <w:tcPr>
                  <w:tcW w:w="782" w:type="pct"/>
                  <w:tcBorders>
                    <w:tl2br w:val="nil"/>
                    <w:tr2bl w:val="nil"/>
                  </w:tcBorders>
                  <w:vAlign w:val="center"/>
                </w:tcPr>
                <w:p>
                  <w:pPr>
                    <w:widowControl/>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5、公用工程</w:t>
            </w:r>
          </w:p>
          <w:p>
            <w:pPr>
              <w:pStyle w:val="40"/>
              <w:spacing w:line="360" w:lineRule="auto"/>
              <w:ind w:firstLine="480" w:firstLineChars="200"/>
              <w:jc w:val="both"/>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5.1给排水</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（1）给水系统</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①水源及给水</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施工用水：</w:t>
            </w:r>
            <w:r>
              <w:rPr>
                <w:rFonts w:hint="default" w:ascii="Times New Roman" w:hAnsi="Times New Roman" w:cs="Times New Roman"/>
                <w:color w:val="FF0000"/>
                <w:sz w:val="24"/>
              </w:rPr>
              <w:t>施工生产用水水源依托村庄农户用水，各风力发电机组基础和道路施工等用水可用罐车或者水箱从村庄取水。生活用水依托农户用水，采取从附近村庄拉运的方式。</w:t>
            </w:r>
          </w:p>
          <w:p>
            <w:pPr>
              <w:pStyle w:val="40"/>
              <w:spacing w:line="360" w:lineRule="auto"/>
              <w:ind w:firstLine="480" w:firstLineChars="200"/>
              <w:jc w:val="both"/>
              <w:rPr>
                <w:rFonts w:hint="default" w:ascii="Times New Roman" w:hAnsi="Times New Roman" w:eastAsia="宋体"/>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运营用水：</w:t>
            </w:r>
            <w:r>
              <w:rPr>
                <w:rFonts w:hint="eastAsia" w:ascii="Times New Roman" w:hAnsi="Times New Roman"/>
                <w:color w:val="000000" w:themeColor="text1"/>
                <w:sz w:val="24"/>
                <w:lang w:val="en-US" w:eastAsia="zh-CN"/>
                <w14:textFill>
                  <w14:solidFill>
                    <w14:schemeClr w14:val="tx1"/>
                  </w14:solidFill>
                </w14:textFill>
              </w:rPr>
              <w:t>35kV开关站为无人值守，运营期不用水。</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②用水量</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1）生产用水主要来自混凝土养护，运输车辆、施工机械的冲洗以及机械修配等环节。本项目施工期用水量约1.5m</w:t>
            </w:r>
            <w:r>
              <w:rPr>
                <w:rFonts w:ascii="Times New Roman" w:hAnsi="Times New Roman"/>
                <w:color w:val="000000" w:themeColor="text1"/>
                <w:sz w:val="24"/>
                <w:vertAlign w:val="super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/h，按90％消耗计算废水产生量约0.15m</w:t>
            </w:r>
            <w:r>
              <w:rPr>
                <w:rFonts w:ascii="Times New Roman" w:hAnsi="Times New Roman"/>
                <w:color w:val="000000" w:themeColor="text1"/>
                <w:sz w:val="24"/>
                <w:vertAlign w:val="super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/h，则废水产生量约1.2m</w:t>
            </w:r>
            <w:r>
              <w:rPr>
                <w:rFonts w:ascii="Times New Roman" w:hAnsi="Times New Roman"/>
                <w:color w:val="000000" w:themeColor="text1"/>
                <w:sz w:val="24"/>
                <w:vertAlign w:val="super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/d。2)施工期人员定额</w:t>
            </w:r>
            <w:r>
              <w:rPr>
                <w:rFonts w:hint="eastAsia"/>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0人（</w:t>
            </w:r>
            <w:r>
              <w:rPr>
                <w:rFonts w:hint="eastAsia"/>
                <w:color w:val="000000" w:themeColor="text1"/>
                <w:sz w:val="24"/>
                <w:lang w:val="en-US" w:eastAsia="zh-CN"/>
                <w14:textFill>
                  <w14:solidFill>
                    <w14:schemeClr w14:val="tx1"/>
                  </w14:solidFill>
                </w14:textFill>
              </w:rPr>
              <w:t>2</w:t>
            </w:r>
            <w:r>
              <w:rPr>
                <w:rFonts w:ascii="Times New Roman" w:hAnsi="Times New Roman"/>
                <w:color w:val="000000" w:themeColor="text1"/>
                <w:sz w:val="24"/>
                <w14:textFill>
                  <w14:solidFill>
                    <w14:schemeClr w14:val="tx1"/>
                  </w14:solidFill>
                </w14:textFill>
              </w:rPr>
              <w:t>0个施工人员，10个管理人员），用水定额为50L/（人·d），项目生活用水量为</w:t>
            </w:r>
            <w:r>
              <w:rPr>
                <w:rFonts w:hint="eastAsia"/>
                <w:color w:val="000000" w:themeColor="text1"/>
                <w:sz w:val="24"/>
                <w:lang w:val="en-US" w:eastAsia="zh-CN"/>
                <w14:textFill>
                  <w14:solidFill>
                    <w14:schemeClr w14:val="tx1"/>
                  </w14:solidFill>
                </w14:textFill>
              </w:rPr>
              <w:t>1.5</w:t>
            </w:r>
            <w:r>
              <w:rPr>
                <w:rFonts w:ascii="Times New Roman" w:hAnsi="Times New Roman"/>
                <w:color w:val="000000" w:themeColor="text1"/>
                <w:sz w:val="24"/>
                <w14:textFill>
                  <w14:solidFill>
                    <w14:schemeClr w14:val="tx1"/>
                  </w14:solidFill>
                </w14:textFill>
              </w:rPr>
              <w:t>m</w:t>
            </w:r>
            <w:r>
              <w:rPr>
                <w:rFonts w:ascii="Times New Roman" w:hAnsi="Times New Roman"/>
                <w:color w:val="000000" w:themeColor="text1"/>
                <w:sz w:val="24"/>
                <w:vertAlign w:val="super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/d（</w:t>
            </w:r>
            <w:r>
              <w:rPr>
                <w:rFonts w:hint="eastAsia"/>
                <w:color w:val="000000" w:themeColor="text1"/>
                <w:sz w:val="24"/>
                <w:lang w:val="en-US" w:eastAsia="zh-CN"/>
                <w14:textFill>
                  <w14:solidFill>
                    <w14:schemeClr w14:val="tx1"/>
                  </w14:solidFill>
                </w14:textFill>
              </w:rPr>
              <w:t>270</w:t>
            </w:r>
            <w:r>
              <w:rPr>
                <w:rFonts w:ascii="Times New Roman" w:hAnsi="Times New Roman"/>
                <w:color w:val="000000" w:themeColor="text1"/>
                <w:sz w:val="24"/>
                <w14:textFill>
                  <w14:solidFill>
                    <w14:schemeClr w14:val="tx1"/>
                  </w14:solidFill>
                </w14:textFill>
              </w:rPr>
              <w:t>m</w:t>
            </w:r>
            <w:r>
              <w:rPr>
                <w:rFonts w:ascii="Times New Roman" w:hAnsi="Times New Roman"/>
                <w:color w:val="000000" w:themeColor="text1"/>
                <w:sz w:val="24"/>
                <w:vertAlign w:val="super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），生活污水量按生活用水量的80%计算，则项目生活污水量为1.</w:t>
            </w:r>
            <w:r>
              <w:rPr>
                <w:rFonts w:hint="eastAsia"/>
                <w:color w:val="000000" w:themeColor="text1"/>
                <w:sz w:val="24"/>
                <w:lang w:val="en-US" w:eastAsia="zh-CN"/>
                <w14:textFill>
                  <w14:solidFill>
                    <w14:schemeClr w14:val="tx1"/>
                  </w14:solidFill>
                </w14:textFill>
              </w:rPr>
              <w:t>2</w:t>
            </w:r>
            <w:r>
              <w:rPr>
                <w:rFonts w:ascii="Times New Roman" w:hAnsi="Times New Roman"/>
                <w:color w:val="000000" w:themeColor="text1"/>
                <w:sz w:val="24"/>
                <w14:textFill>
                  <w14:solidFill>
                    <w14:schemeClr w14:val="tx1"/>
                  </w14:solidFill>
                </w14:textFill>
              </w:rPr>
              <w:t>m</w:t>
            </w:r>
            <w:r>
              <w:rPr>
                <w:rFonts w:ascii="Times New Roman" w:hAnsi="Times New Roman"/>
                <w:color w:val="000000" w:themeColor="text1"/>
                <w:sz w:val="24"/>
                <w:vertAlign w:val="super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/d（</w:t>
            </w:r>
            <w:r>
              <w:rPr>
                <w:rFonts w:hint="eastAsia"/>
                <w:color w:val="000000" w:themeColor="text1"/>
                <w:sz w:val="24"/>
                <w:lang w:val="en-US" w:eastAsia="zh-CN"/>
                <w14:textFill>
                  <w14:solidFill>
                    <w14:schemeClr w14:val="tx1"/>
                  </w14:solidFill>
                </w14:textFill>
              </w:rPr>
              <w:t>216</w:t>
            </w:r>
            <w:r>
              <w:rPr>
                <w:rFonts w:ascii="Times New Roman" w:hAnsi="Times New Roman"/>
                <w:color w:val="000000" w:themeColor="text1"/>
                <w:sz w:val="24"/>
                <w14:textFill>
                  <w14:solidFill>
                    <w14:schemeClr w14:val="tx1"/>
                  </w14:solidFill>
                </w14:textFill>
              </w:rPr>
              <w:t>m</w:t>
            </w:r>
            <w:r>
              <w:rPr>
                <w:rFonts w:ascii="Times New Roman" w:hAnsi="Times New Roman"/>
                <w:color w:val="000000" w:themeColor="text1"/>
                <w:sz w:val="24"/>
                <w:vertAlign w:val="super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（2）排水系统</w:t>
            </w:r>
          </w:p>
          <w:p>
            <w:pPr>
              <w:spacing w:line="360" w:lineRule="auto"/>
              <w:ind w:firstLine="420"/>
              <w:rPr>
                <w:rFonts w:ascii="Times New Roman" w:hAnsi="Times New Roman"/>
                <w:color w:val="000000" w:themeColor="text1"/>
                <w:sz w:val="24"/>
                <w14:textFill>
                  <w14:solidFill>
                    <w14:schemeClr w14:val="tx1"/>
                  </w14:solidFill>
                </w14:textFill>
              </w:rPr>
            </w:pPr>
            <w:bookmarkStart w:id="14" w:name="_Hlk58339885"/>
            <w:r>
              <w:rPr>
                <w:rFonts w:ascii="Times New Roman" w:hAnsi="Times New Roman"/>
                <w:color w:val="000000" w:themeColor="text1"/>
                <w:sz w:val="24"/>
                <w14:textFill>
                  <w14:solidFill>
                    <w14:schemeClr w14:val="tx1"/>
                  </w14:solidFill>
                </w14:textFill>
              </w:rPr>
              <w:t>施工期排水：生产废水通过沉淀池沉淀后回用于施工环节，生活污水排入</w:t>
            </w:r>
            <w:r>
              <w:rPr>
                <w:rFonts w:hint="eastAsia" w:ascii="Times New Roman" w:hAnsi="Times New Roman"/>
                <w:color w:val="000000" w:themeColor="text1"/>
                <w:sz w:val="24"/>
                <w:lang w:eastAsia="zh-CN"/>
                <w14:textFill>
                  <w14:solidFill>
                    <w14:schemeClr w14:val="tx1"/>
                  </w14:solidFill>
                </w14:textFill>
              </w:rPr>
              <w:t>环保厕所</w:t>
            </w:r>
            <w:r>
              <w:rPr>
                <w:rFonts w:ascii="Times New Roman" w:hAnsi="Times New Roman"/>
                <w:color w:val="000000" w:themeColor="text1"/>
                <w:sz w:val="24"/>
                <w14:textFill>
                  <w14:solidFill>
                    <w14:schemeClr w14:val="tx1"/>
                  </w14:solidFill>
                </w14:textFill>
              </w:rPr>
              <w:t>，用于附近农田施肥。</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5.2供配电</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（1）施工供电</w:t>
            </w:r>
          </w:p>
          <w:p>
            <w:pPr>
              <w:spacing w:line="360" w:lineRule="auto"/>
              <w:ind w:left="239" w:leftChars="114" w:firstLine="240" w:firstLineChars="1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本项目施工用电由区域电网引一回10kV施工电源经施工区10/0.38kV台变，降压后引至各自的施工点，另外，设</w:t>
            </w:r>
            <w:r>
              <w:rPr>
                <w:rFonts w:hint="eastAsia"/>
                <w:color w:val="000000" w:themeColor="text1"/>
                <w:sz w:val="24"/>
                <w:lang w:val="en-US" w:eastAsia="zh-CN"/>
                <w14:textFill>
                  <w14:solidFill>
                    <w14:schemeClr w14:val="tx1"/>
                  </w14:solidFill>
                </w14:textFill>
              </w:rPr>
              <w:t>2</w:t>
            </w:r>
            <w:r>
              <w:rPr>
                <w:rFonts w:ascii="Times New Roman" w:hAnsi="Times New Roman"/>
                <w:color w:val="000000" w:themeColor="text1"/>
                <w:sz w:val="24"/>
                <w14:textFill>
                  <w14:solidFill>
                    <w14:schemeClr w14:val="tx1"/>
                  </w14:solidFill>
                </w14:textFill>
              </w:rPr>
              <w:t>台</w:t>
            </w:r>
            <w:r>
              <w:rPr>
                <w:rFonts w:hint="eastAsia" w:ascii="Times New Roman" w:hAnsi="Times New Roman"/>
                <w:color w:val="000000" w:themeColor="text1"/>
                <w:sz w:val="24"/>
                <w14:textFill>
                  <w14:solidFill>
                    <w14:schemeClr w14:val="tx1"/>
                  </w14:solidFill>
                </w14:textFill>
              </w:rPr>
              <w:t>50</w:t>
            </w:r>
            <w:r>
              <w:rPr>
                <w:rFonts w:ascii="Times New Roman" w:hAnsi="Times New Roman"/>
                <w:color w:val="000000" w:themeColor="text1"/>
                <w:sz w:val="24"/>
                <w14:textFill>
                  <w14:solidFill>
                    <w14:schemeClr w14:val="tx1"/>
                  </w14:solidFill>
                </w14:textFill>
              </w:rPr>
              <w:t>kW移动式柴油发电机作为辅助用电；</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（2）运行期供电</w:t>
            </w:r>
          </w:p>
          <w:p>
            <w:pPr>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运行期生产用电依托</w:t>
            </w:r>
            <w:r>
              <w:rPr>
                <w:rFonts w:hint="eastAsia"/>
                <w:color w:val="000000" w:themeColor="text1"/>
                <w:sz w:val="24"/>
                <w:lang w:val="en-US" w:eastAsia="zh-CN"/>
                <w14:textFill>
                  <w14:solidFill>
                    <w14:schemeClr w14:val="tx1"/>
                  </w14:solidFill>
                </w14:textFill>
              </w:rPr>
              <w:t>开关站</w:t>
            </w:r>
            <w:r>
              <w:rPr>
                <w:rFonts w:ascii="Times New Roman" w:hAnsi="Times New Roman"/>
                <w:color w:val="000000" w:themeColor="text1"/>
                <w:sz w:val="24"/>
                <w14:textFill>
                  <w14:solidFill>
                    <w14:schemeClr w14:val="tx1"/>
                  </w14:solidFill>
                </w14:textFill>
              </w:rPr>
              <w:t>自给自足。</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5.3采暖、制冷</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35</w:t>
            </w:r>
            <w:r>
              <w:rPr>
                <w:rFonts w:hint="eastAsia" w:ascii="Times New Roman" w:hAnsi="Times New Roman"/>
                <w:color w:val="000000" w:themeColor="text1"/>
                <w:sz w:val="24"/>
                <w:lang w:val="en-US" w:eastAsia="zh-CN"/>
                <w14:textFill>
                  <w14:solidFill>
                    <w14:schemeClr w14:val="tx1"/>
                  </w14:solidFill>
                </w14:textFill>
              </w:rPr>
              <w:t>kV</w:t>
            </w:r>
            <w:r>
              <w:rPr>
                <w:rFonts w:hint="eastAsia"/>
                <w:color w:val="000000" w:themeColor="text1"/>
                <w:sz w:val="24"/>
                <w:lang w:val="en-US" w:eastAsia="zh-CN"/>
                <w14:textFill>
                  <w14:solidFill>
                    <w14:schemeClr w14:val="tx1"/>
                  </w14:solidFill>
                </w14:textFill>
              </w:rPr>
              <w:t>开关站</w:t>
            </w:r>
            <w:r>
              <w:rPr>
                <w:rFonts w:hint="eastAsia" w:ascii="Times New Roman" w:hAnsi="Times New Roman"/>
                <w:color w:val="000000" w:themeColor="text1"/>
                <w:sz w:val="24"/>
                <w:lang w:val="en-US" w:eastAsia="zh-CN"/>
                <w14:textFill>
                  <w14:solidFill>
                    <w14:schemeClr w14:val="tx1"/>
                  </w14:solidFill>
                </w14:textFill>
              </w:rPr>
              <w:t>为无人值守，</w:t>
            </w:r>
            <w:r>
              <w:rPr>
                <w:rFonts w:ascii="Times New Roman" w:hAnsi="Times New Roman"/>
                <w:color w:val="000000" w:themeColor="text1"/>
                <w:sz w:val="24"/>
                <w14:textFill>
                  <w14:solidFill>
                    <w14:schemeClr w14:val="tx1"/>
                  </w14:solidFill>
                </w14:textFill>
              </w:rPr>
              <w:t>运营期</w:t>
            </w:r>
            <w:r>
              <w:rPr>
                <w:rFonts w:hint="eastAsia"/>
                <w:color w:val="000000" w:themeColor="text1"/>
                <w:sz w:val="24"/>
                <w:lang w:val="en-US" w:eastAsia="zh-CN"/>
                <w14:textFill>
                  <w14:solidFill>
                    <w14:schemeClr w14:val="tx1"/>
                  </w14:solidFill>
                </w14:textFill>
              </w:rPr>
              <w:t>无需采暖及制冷措施</w:t>
            </w:r>
            <w:r>
              <w:rPr>
                <w:rFonts w:ascii="Times New Roman" w:hAnsi="Times New Roman"/>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6、职工定员</w:t>
            </w:r>
          </w:p>
          <w:p>
            <w:pPr>
              <w:pStyle w:val="40"/>
              <w:spacing w:line="360" w:lineRule="auto"/>
              <w:ind w:firstLine="480" w:firstLineChars="200"/>
              <w:jc w:val="both"/>
              <w:rPr>
                <w:rFonts w:hint="eastAsia" w:ascii="Times New Roman" w:hAnsi="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本项目35kV开关站</w:t>
            </w:r>
            <w:r>
              <w:rPr>
                <w:rFonts w:hint="default" w:ascii="Times New Roman" w:hAnsi="Times New Roman" w:cs="Times New Roman"/>
                <w:color w:val="000000" w:themeColor="text1"/>
                <w:sz w:val="24"/>
                <w:lang w:val="en-US" w:eastAsia="zh-CN"/>
                <w14:textFill>
                  <w14:solidFill>
                    <w14:schemeClr w14:val="tx1"/>
                  </w14:solidFill>
                </w14:textFill>
              </w:rPr>
              <w:t>为无人值守</w:t>
            </w:r>
            <w:r>
              <w:rPr>
                <w:rFonts w:hint="default" w:ascii="Times New Roman" w:hAnsi="Times New Roman" w:cs="Times New Roman"/>
                <w:color w:val="000000" w:themeColor="text1"/>
                <w:lang w:val="en-US" w:eastAsia="zh-CN"/>
                <w14:textFill>
                  <w14:solidFill>
                    <w14:schemeClr w14:val="tx1"/>
                  </w14:solidFill>
                </w14:textFill>
              </w:rPr>
              <w:t>，风电场的安全监控进行远程监控，风电场的设备检修和日常维护人员均为当地人员，</w:t>
            </w:r>
            <w:r>
              <w:rPr>
                <w:rFonts w:hint="eastAsia" w:ascii="Times New Roman" w:hAnsi="Times New Roman" w:cs="Times New Roman"/>
                <w:color w:val="000000" w:themeColor="text1"/>
                <w:lang w:val="en-US" w:eastAsia="zh-CN"/>
                <w14:textFill>
                  <w14:solidFill>
                    <w14:schemeClr w14:val="tx1"/>
                  </w14:solidFill>
                </w14:textFill>
              </w:rPr>
              <w:t>食宿自行解决</w:t>
            </w:r>
            <w:r>
              <w:rPr>
                <w:rFonts w:hint="default" w:ascii="Times New Roman" w:hAnsi="Times New Roman" w:cs="Times New Roman"/>
                <w:color w:val="000000" w:themeColor="text1"/>
                <w:lang w:val="en-US" w:eastAsia="zh-CN"/>
                <w14:textFill>
                  <w14:solidFill>
                    <w14:schemeClr w14:val="tx1"/>
                  </w14:solidFill>
                </w14:textFill>
              </w:rPr>
              <w:t>。</w:t>
            </w:r>
          </w:p>
          <w:bookmarkEnd w:id="14"/>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7、工程投资</w:t>
            </w:r>
          </w:p>
          <w:p>
            <w:pPr>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本项目总投资</w:t>
            </w:r>
            <w:r>
              <w:rPr>
                <w:rFonts w:hint="eastAsia"/>
                <w:color w:val="000000" w:themeColor="text1"/>
                <w:sz w:val="24"/>
                <w:szCs w:val="24"/>
                <w:lang w:val="en-US" w:eastAsia="zh-CN"/>
                <w14:textFill>
                  <w14:solidFill>
                    <w14:schemeClr w14:val="tx1"/>
                  </w14:solidFill>
                </w14:textFill>
              </w:rPr>
              <w:t>16000</w:t>
            </w:r>
            <w:r>
              <w:rPr>
                <w:rFonts w:ascii="Times New Roman" w:hAnsi="Times New Roman"/>
                <w:color w:val="000000" w:themeColor="text1"/>
                <w:sz w:val="24"/>
                <w14:textFill>
                  <w14:solidFill>
                    <w14:schemeClr w14:val="tx1"/>
                  </w14:solidFill>
                </w14:textFill>
              </w:rPr>
              <w:t>万元。</w:t>
            </w:r>
          </w:p>
          <w:p>
            <w:pPr>
              <w:adjustRightInd w:val="0"/>
              <w:snapToGrid w:val="0"/>
              <w:jc w:val="both"/>
              <w:rPr>
                <w:rFonts w:ascii="宋体" w:hAnsi="宋体" w:cs="宋体"/>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710" w:type="dxa"/>
            <w:noWrap w:val="0"/>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总平面及现场布置</w:t>
            </w:r>
          </w:p>
        </w:tc>
        <w:tc>
          <w:tcPr>
            <w:tcW w:w="83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1、工程布局情况</w:t>
            </w:r>
          </w:p>
          <w:p>
            <w:pPr>
              <w:spacing w:line="360" w:lineRule="auto"/>
              <w:ind w:firstLine="480" w:firstLineChars="200"/>
              <w:jc w:val="left"/>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本项目位于澄城县王庄镇，风场范围面积37.49km</w:t>
            </w:r>
            <w:r>
              <w:rPr>
                <w:rFonts w:hint="eastAsia"/>
                <w:color w:val="000000" w:themeColor="text1"/>
                <w:sz w:val="24"/>
                <w:vertAlign w:val="super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，范围内分散式分布8</w:t>
            </w:r>
            <w:r>
              <w:rPr>
                <w:rFonts w:ascii="Times New Roman" w:hAnsi="Times New Roman"/>
                <w:color w:val="000000" w:themeColor="text1"/>
                <w:sz w:val="24"/>
                <w14:textFill>
                  <w14:solidFill>
                    <w14:schemeClr w14:val="tx1"/>
                  </w14:solidFill>
                </w14:textFill>
              </w:rPr>
              <w:t>个风机机位，安装</w:t>
            </w:r>
            <w:r>
              <w:rPr>
                <w:rFonts w:hint="eastAsia"/>
                <w:color w:val="000000" w:themeColor="text1"/>
                <w:sz w:val="24"/>
                <w:lang w:val="en-US" w:eastAsia="zh-CN"/>
                <w14:textFill>
                  <w14:solidFill>
                    <w14:schemeClr w14:val="tx1"/>
                  </w14:solidFill>
                </w14:textFill>
              </w:rPr>
              <w:t>8</w:t>
            </w:r>
            <w:r>
              <w:rPr>
                <w:rFonts w:ascii="Times New Roman" w:hAnsi="Times New Roman"/>
                <w:color w:val="000000" w:themeColor="text1"/>
                <w:sz w:val="24"/>
                <w14:textFill>
                  <w14:solidFill>
                    <w14:schemeClr w14:val="tx1"/>
                  </w14:solidFill>
                </w14:textFill>
              </w:rPr>
              <w:t>台</w:t>
            </w:r>
            <w:r>
              <w:rPr>
                <w:rFonts w:ascii="Times New Roman" w:hAnsi="Times New Roman" w:eastAsia="Times New Roman"/>
                <w:color w:val="000000" w:themeColor="text1"/>
                <w:sz w:val="24"/>
                <w14:textFill>
                  <w14:solidFill>
                    <w14:schemeClr w14:val="tx1"/>
                  </w14:solidFill>
                </w14:textFill>
              </w:rPr>
              <w:t>2.5MW的风力发电机组</w:t>
            </w:r>
            <w:r>
              <w:rPr>
                <w:rFonts w:hint="eastAsia" w:eastAsia="宋体"/>
                <w:color w:val="000000" w:themeColor="text1"/>
                <w:sz w:val="24"/>
                <w:lang w:val="en-US" w:eastAsia="zh-CN"/>
                <w14:textFill>
                  <w14:solidFill>
                    <w14:schemeClr w14:val="tx1"/>
                  </w14:solidFill>
                </w14:textFill>
              </w:rPr>
              <w:t>和箱式变电站</w:t>
            </w:r>
            <w:r>
              <w:rPr>
                <w:rFonts w:ascii="Times New Roman" w:hAnsi="Times New Roman" w:eastAsia="Times New Roman"/>
                <w:color w:val="000000" w:themeColor="text1"/>
                <w:sz w:val="24"/>
                <w14:textFill>
                  <w14:solidFill>
                    <w14:schemeClr w14:val="tx1"/>
                  </w14:solidFill>
                </w14:textFill>
              </w:rPr>
              <w:t>，</w:t>
            </w:r>
            <w:r>
              <w:rPr>
                <w:rFonts w:hint="eastAsia" w:eastAsia="宋体"/>
                <w:color w:val="000000" w:themeColor="text1"/>
                <w:sz w:val="24"/>
                <w:lang w:val="en-US" w:eastAsia="zh-CN"/>
                <w14:textFill>
                  <w14:solidFill>
                    <w14:schemeClr w14:val="tx1"/>
                  </w14:solidFill>
                </w14:textFill>
              </w:rPr>
              <w:t>设置</w:t>
            </w:r>
            <w:r>
              <w:rPr>
                <w:rFonts w:hint="eastAsia"/>
                <w:color w:val="000000" w:themeColor="text1"/>
                <w:sz w:val="24"/>
                <w:lang w:val="en-US" w:eastAsia="zh-CN"/>
                <w14:textFill>
                  <w14:solidFill>
                    <w14:schemeClr w14:val="tx1"/>
                  </w14:solidFill>
                </w14:textFill>
              </w:rPr>
              <w:t>1</w:t>
            </w:r>
            <w:r>
              <w:rPr>
                <w:rFonts w:hint="eastAsia" w:eastAsia="宋体"/>
                <w:color w:val="000000" w:themeColor="text1"/>
                <w:sz w:val="24"/>
                <w:lang w:val="en-US" w:eastAsia="zh-CN"/>
                <w14:textFill>
                  <w14:solidFill>
                    <w14:schemeClr w14:val="tx1"/>
                  </w14:solidFill>
                </w14:textFill>
              </w:rPr>
              <w:t>回</w:t>
            </w:r>
            <w:r>
              <w:rPr>
                <w:rFonts w:hint="eastAsia" w:ascii="Times New Roman" w:hAnsi="Times New Roman"/>
                <w:color w:val="000000" w:themeColor="text1"/>
                <w:sz w:val="24"/>
                <w:lang w:val="en-US" w:eastAsia="zh-CN"/>
                <w14:textFill>
                  <w14:solidFill>
                    <w14:schemeClr w14:val="tx1"/>
                  </w14:solidFill>
                </w14:textFill>
              </w:rPr>
              <w:t>5kV集电线路</w:t>
            </w:r>
            <w:r>
              <w:rPr>
                <w:rFonts w:hint="eastAsia"/>
                <w:color w:val="000000" w:themeColor="text1"/>
                <w:sz w:val="24"/>
                <w:lang w:val="en-US"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由各风机相变电缆出线</w:t>
            </w:r>
            <w:r>
              <w:rPr>
                <w:rFonts w:hint="eastAsia"/>
                <w:color w:val="000000" w:themeColor="text1"/>
                <w:sz w:val="24"/>
                <w:lang w:val="en-US" w:eastAsia="zh-CN"/>
                <w14:textFill>
                  <w14:solidFill>
                    <w14:schemeClr w14:val="tx1"/>
                  </w14:solidFill>
                </w14:textFill>
              </w:rPr>
              <w:t>以直埋和架空的方式送至升压</w:t>
            </w:r>
            <w:r>
              <w:rPr>
                <w:rFonts w:hint="eastAsia" w:ascii="Times New Roman" w:hAnsi="Times New Roman"/>
                <w:color w:val="000000" w:themeColor="text1"/>
                <w:sz w:val="24"/>
                <w:lang w:val="en-US" w:eastAsia="zh-CN"/>
                <w14:textFill>
                  <w14:solidFill>
                    <w14:schemeClr w14:val="tx1"/>
                  </w14:solidFill>
                </w14:textFill>
              </w:rPr>
              <w:t>35kV</w:t>
            </w:r>
            <w:r>
              <w:rPr>
                <w:rFonts w:hint="eastAsia"/>
                <w:color w:val="000000" w:themeColor="text1"/>
                <w:sz w:val="24"/>
                <w:lang w:val="en-US" w:eastAsia="zh-CN"/>
                <w14:textFill>
                  <w14:solidFill>
                    <w14:schemeClr w14:val="tx1"/>
                  </w14:solidFill>
                </w14:textFill>
              </w:rPr>
              <w:t>开关站，</w:t>
            </w:r>
            <w:r>
              <w:rPr>
                <w:rFonts w:ascii="Times New Roman" w:hAnsi="Times New Roman" w:eastAsia="Times New Roman"/>
                <w:color w:val="000000" w:themeColor="text1"/>
                <w:sz w:val="24"/>
                <w14:textFill>
                  <w14:solidFill>
                    <w14:schemeClr w14:val="tx1"/>
                  </w14:solidFill>
                </w14:textFill>
              </w:rPr>
              <w:t>以1回</w:t>
            </w:r>
            <w:r>
              <w:rPr>
                <w:rFonts w:hint="eastAsia" w:eastAsia="宋体"/>
                <w:color w:val="000000" w:themeColor="text1"/>
                <w:sz w:val="24"/>
                <w:lang w:val="en-US" w:eastAsia="zh-CN"/>
                <w14:textFill>
                  <w14:solidFill>
                    <w14:schemeClr w14:val="tx1"/>
                  </w14:solidFill>
                </w14:textFill>
              </w:rPr>
              <w:t>35</w:t>
            </w:r>
            <w:r>
              <w:rPr>
                <w:rFonts w:ascii="Times New Roman" w:hAnsi="Times New Roman" w:eastAsia="Times New Roman"/>
                <w:color w:val="000000" w:themeColor="text1"/>
                <w:sz w:val="24"/>
                <w14:textFill>
                  <w14:solidFill>
                    <w14:schemeClr w14:val="tx1"/>
                  </w14:solidFill>
                </w14:textFill>
              </w:rPr>
              <w:t>kV</w:t>
            </w:r>
            <w:r>
              <w:rPr>
                <w:rFonts w:hint="eastAsia" w:ascii="Times New Roman" w:hAnsi="Times New Roman" w:eastAsia="Times New Roman"/>
                <w:color w:val="000000" w:themeColor="text1"/>
                <w:sz w:val="24"/>
                <w:lang w:val="en-US" w:eastAsia="zh-CN"/>
                <w14:textFill>
                  <w14:solidFill>
                    <w14:schemeClr w14:val="tx1"/>
                  </w14:solidFill>
                </w14:textFill>
              </w:rPr>
              <w:t>架空线路就近接入安里</w:t>
            </w:r>
            <w:r>
              <w:rPr>
                <w:rFonts w:hint="default" w:ascii="Times New Roman" w:hAnsi="Times New Roman" w:eastAsia="Times New Roman"/>
                <w:color w:val="000000" w:themeColor="text1"/>
                <w:sz w:val="24"/>
                <w:lang w:val="en-US" w:eastAsia="zh-CN"/>
                <w14:textFill>
                  <w14:solidFill>
                    <w14:schemeClr w14:val="tx1"/>
                  </w14:solidFill>
                </w14:textFill>
              </w:rPr>
              <w:t>110kV</w:t>
            </w:r>
            <w:r>
              <w:rPr>
                <w:rFonts w:hint="eastAsia" w:ascii="Times New Roman" w:hAnsi="Times New Roman" w:eastAsia="Times New Roman"/>
                <w:color w:val="000000" w:themeColor="text1"/>
                <w:sz w:val="24"/>
                <w:lang w:val="en-US" w:eastAsia="zh-CN"/>
                <w14:textFill>
                  <w14:solidFill>
                    <w14:schemeClr w14:val="tx1"/>
                  </w14:solidFill>
                </w14:textFill>
              </w:rPr>
              <w:t>变电站</w:t>
            </w:r>
            <w:r>
              <w:rPr>
                <w:rFonts w:hint="default" w:ascii="Times New Roman" w:hAnsi="Times New Roman" w:eastAsia="Times New Roman"/>
                <w:color w:val="000000" w:themeColor="text1"/>
                <w:sz w:val="24"/>
                <w:lang w:val="en-US" w:eastAsia="zh-CN"/>
                <w14:textFill>
                  <w14:solidFill>
                    <w14:schemeClr w14:val="tx1"/>
                  </w14:solidFill>
                </w14:textFill>
              </w:rPr>
              <w:t>35kV</w:t>
            </w:r>
            <w:r>
              <w:rPr>
                <w:rFonts w:hint="eastAsia" w:ascii="Times New Roman" w:hAnsi="Times New Roman" w:eastAsia="Times New Roman"/>
                <w:color w:val="000000" w:themeColor="text1"/>
                <w:sz w:val="24"/>
                <w:lang w:val="en-US" w:eastAsia="zh-CN"/>
                <w14:textFill>
                  <w14:solidFill>
                    <w14:schemeClr w14:val="tx1"/>
                  </w14:solidFill>
                </w14:textFill>
              </w:rPr>
              <w:t>侧</w:t>
            </w:r>
            <w:r>
              <w:rPr>
                <w:rFonts w:hint="eastAsia" w:eastAsia="宋体"/>
                <w:color w:val="000000" w:themeColor="text1"/>
                <w:sz w:val="24"/>
                <w:lang w:eastAsia="zh-CN"/>
                <w14:textFill>
                  <w14:solidFill>
                    <w14:schemeClr w14:val="tx1"/>
                  </w14:solidFill>
                </w14:textFill>
              </w:rPr>
              <w:t>。</w:t>
            </w:r>
            <w:r>
              <w:rPr>
                <w:rFonts w:hint="eastAsia" w:eastAsia="宋体"/>
                <w:color w:val="000000" w:themeColor="text1"/>
                <w:sz w:val="24"/>
                <w:lang w:val="en-US" w:eastAsia="zh-CN"/>
                <w14:textFill>
                  <w14:solidFill>
                    <w14:schemeClr w14:val="tx1"/>
                  </w14:solidFill>
                </w14:textFill>
              </w:rPr>
              <w:t>本项目风场范围、风机点位和</w:t>
            </w:r>
            <w:r>
              <w:rPr>
                <w:rFonts w:hint="eastAsia"/>
                <w:color w:val="000000" w:themeColor="text1"/>
                <w:sz w:val="24"/>
                <w:lang w:val="en-US" w:eastAsia="zh-CN"/>
                <w14:textFill>
                  <w14:solidFill>
                    <w14:schemeClr w14:val="tx1"/>
                  </w14:solidFill>
                </w14:textFill>
              </w:rPr>
              <w:t>开关站</w:t>
            </w:r>
            <w:r>
              <w:rPr>
                <w:rFonts w:hint="eastAsia" w:eastAsia="宋体"/>
                <w:color w:val="000000" w:themeColor="text1"/>
                <w:sz w:val="24"/>
                <w:lang w:val="en-US" w:eastAsia="zh-CN"/>
                <w14:textFill>
                  <w14:solidFill>
                    <w14:schemeClr w14:val="tx1"/>
                  </w14:solidFill>
                </w14:textFill>
              </w:rPr>
              <w:t>布置见附图2，35</w:t>
            </w:r>
            <w:r>
              <w:rPr>
                <w:rFonts w:ascii="Times New Roman" w:hAnsi="Times New Roman" w:eastAsia="Times New Roman"/>
                <w:color w:val="000000" w:themeColor="text1"/>
                <w:sz w:val="24"/>
                <w14:textFill>
                  <w14:solidFill>
                    <w14:schemeClr w14:val="tx1"/>
                  </w14:solidFill>
                </w14:textFill>
              </w:rPr>
              <w:t>kV</w:t>
            </w:r>
            <w:r>
              <w:rPr>
                <w:rFonts w:hint="eastAsia" w:eastAsia="宋体"/>
                <w:color w:val="000000" w:themeColor="text1"/>
                <w:sz w:val="24"/>
                <w:lang w:val="en-US" w:eastAsia="zh-CN"/>
                <w14:textFill>
                  <w14:solidFill>
                    <w14:schemeClr w14:val="tx1"/>
                  </w14:solidFill>
                </w14:textFill>
              </w:rPr>
              <w:t>开关站平面布置见附图3。</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2、施工总图布置</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本项目施工场地包括施工临建场地，风机组装以及吊装</w:t>
            </w:r>
            <w:r>
              <w:rPr>
                <w:rFonts w:hint="eastAsia"/>
                <w:color w:val="000000" w:themeColor="text1"/>
                <w:sz w:val="24"/>
                <w:lang w:val="en-US" w:eastAsia="zh-CN"/>
                <w14:textFill>
                  <w14:solidFill>
                    <w14:schemeClr w14:val="tx1"/>
                  </w14:solidFill>
                </w14:textFill>
              </w:rPr>
              <w:t>场地</w:t>
            </w:r>
            <w:r>
              <w:rPr>
                <w:rFonts w:ascii="Times New Roman" w:hAnsi="Times New Roman"/>
                <w:color w:val="000000" w:themeColor="text1"/>
                <w:sz w:val="24"/>
                <w14:textFill>
                  <w14:solidFill>
                    <w14:schemeClr w14:val="tx1"/>
                  </w14:solidFill>
                </w14:textFill>
              </w:rPr>
              <w:t>。</w:t>
            </w:r>
          </w:p>
          <w:p>
            <w:pPr>
              <w:spacing w:line="360" w:lineRule="auto"/>
              <w:ind w:firstLine="420"/>
              <w:rPr>
                <w:rFonts w:hint="default" w:ascii="Times New Roman" w:hAnsi="Times New Roman"/>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①施工临建场地</w:t>
            </w:r>
          </w:p>
          <w:p>
            <w:pPr>
              <w:spacing w:line="360" w:lineRule="auto"/>
              <w:ind w:firstLine="420"/>
              <w:rPr>
                <w:rFonts w:hint="eastAsia"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王庄镇</w:t>
            </w:r>
            <w:r>
              <w:rPr>
                <w:rFonts w:ascii="Times New Roman" w:hAnsi="Times New Roman"/>
                <w:color w:val="000000" w:themeColor="text1"/>
                <w:sz w:val="24"/>
                <w14:textFill>
                  <w14:solidFill>
                    <w14:schemeClr w14:val="tx1"/>
                  </w14:solidFill>
                </w14:textFill>
              </w:rPr>
              <w:t>风电场地形为平原地形，</w:t>
            </w:r>
            <w:r>
              <w:rPr>
                <w:rFonts w:hint="eastAsia"/>
                <w:color w:val="000000" w:themeColor="text1"/>
                <w:sz w:val="24"/>
                <w:lang w:val="en-US" w:eastAsia="zh-CN"/>
                <w14:textFill>
                  <w14:solidFill>
                    <w14:schemeClr w14:val="tx1"/>
                  </w14:solidFill>
                </w14:textFill>
              </w:rPr>
              <w:t>地形起伏较小</w:t>
            </w:r>
            <w:r>
              <w:rPr>
                <w:rFonts w:hint="eastAsia"/>
                <w:color w:val="000000" w:themeColor="text1"/>
                <w:sz w:val="24"/>
                <w:lang w:eastAsia="zh-CN"/>
                <w14:textFill>
                  <w14:solidFill>
                    <w14:schemeClr w14:val="tx1"/>
                  </w14:solidFill>
                </w14:textFill>
              </w:rPr>
              <w:t>。</w:t>
            </w:r>
            <w:bookmarkStart w:id="15" w:name="_Hlk58342072"/>
            <w:r>
              <w:rPr>
                <w:rFonts w:ascii="Times New Roman" w:hAnsi="Times New Roman"/>
                <w:color w:val="000000" w:themeColor="text1"/>
                <w:sz w:val="24"/>
                <w14:textFill>
                  <w14:solidFill>
                    <w14:schemeClr w14:val="tx1"/>
                  </w14:solidFill>
                </w14:textFill>
              </w:rPr>
              <w:t>项目</w:t>
            </w:r>
            <w:r>
              <w:rPr>
                <w:rFonts w:hint="eastAsia" w:ascii="Times New Roman" w:hAnsi="Times New Roman"/>
                <w:color w:val="000000" w:themeColor="text1"/>
                <w:sz w:val="24"/>
                <w14:textFill>
                  <w14:solidFill>
                    <w14:schemeClr w14:val="tx1"/>
                  </w14:solidFill>
                </w14:textFill>
              </w:rPr>
              <w:t>利用</w:t>
            </w:r>
            <w:r>
              <w:rPr>
                <w:rFonts w:hint="eastAsia"/>
                <w:color w:val="000000" w:themeColor="text1"/>
                <w:sz w:val="24"/>
                <w:lang w:val="en-US" w:eastAsia="zh-CN"/>
                <w14:textFill>
                  <w14:solidFill>
                    <w14:schemeClr w14:val="tx1"/>
                  </w14:solidFill>
                </w14:textFill>
              </w:rPr>
              <w:t>35kV开关站</w:t>
            </w:r>
            <w:r>
              <w:rPr>
                <w:rFonts w:hint="eastAsia" w:ascii="Times New Roman" w:hAnsi="Times New Roman"/>
                <w:color w:val="000000" w:themeColor="text1"/>
                <w:sz w:val="24"/>
                <w14:textFill>
                  <w14:solidFill>
                    <w14:schemeClr w14:val="tx1"/>
                  </w14:solidFill>
                </w14:textFill>
              </w:rPr>
              <w:t>用地作为</w:t>
            </w:r>
            <w:r>
              <w:rPr>
                <w:rFonts w:ascii="Times New Roman" w:hAnsi="Times New Roman"/>
                <w:color w:val="000000" w:themeColor="text1"/>
                <w:sz w:val="24"/>
                <w14:textFill>
                  <w14:solidFill>
                    <w14:schemeClr w14:val="tx1"/>
                  </w14:solidFill>
                </w14:textFill>
              </w:rPr>
              <w:t>施工临建场地，</w:t>
            </w:r>
            <w:bookmarkEnd w:id="15"/>
            <w:r>
              <w:rPr>
                <w:rFonts w:ascii="Times New Roman" w:hAnsi="Times New Roman"/>
                <w:color w:val="000000" w:themeColor="text1"/>
                <w:sz w:val="24"/>
                <w14:textFill>
                  <w14:solidFill>
                    <w14:schemeClr w14:val="tx1"/>
                  </w14:solidFill>
                </w14:textFill>
              </w:rPr>
              <w:t>主要设置仓库</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设备堆放场</w:t>
            </w:r>
            <w:r>
              <w:rPr>
                <w:rFonts w:hint="eastAsia"/>
                <w:color w:val="000000" w:themeColor="text1"/>
                <w:sz w:val="24"/>
                <w:lang w:val="en-US" w:eastAsia="zh-CN"/>
                <w14:textFill>
                  <w14:solidFill>
                    <w14:schemeClr w14:val="tx1"/>
                  </w14:solidFill>
                </w14:textFill>
              </w:rPr>
              <w:t>及临时生活区</w:t>
            </w:r>
            <w:r>
              <w:rPr>
                <w:rFonts w:ascii="Times New Roman" w:hAnsi="Times New Roman"/>
                <w:color w:val="000000" w:themeColor="text1"/>
                <w:sz w:val="24"/>
                <w14:textFill>
                  <w14:solidFill>
                    <w14:schemeClr w14:val="tx1"/>
                  </w14:solidFill>
                </w14:textFill>
              </w:rPr>
              <w:t>等施工临时设施，不设置混凝土搅拌站</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采用商品混凝土进行浇注</w:t>
            </w:r>
            <w:r>
              <w:rPr>
                <w:rFonts w:hint="eastAsia" w:ascii="Times New Roman" w:hAnsi="Times New Roman"/>
                <w:color w:val="000000" w:themeColor="text1"/>
                <w:sz w:val="24"/>
                <w14:textFill>
                  <w14:solidFill>
                    <w14:schemeClr w14:val="tx1"/>
                  </w14:solidFill>
                </w14:textFill>
              </w:rPr>
              <w:t>；不设置</w:t>
            </w:r>
            <w:r>
              <w:rPr>
                <w:rFonts w:ascii="Times New Roman" w:hAnsi="Times New Roman"/>
                <w:color w:val="000000" w:themeColor="text1"/>
                <w:sz w:val="24"/>
                <w14:textFill>
                  <w14:solidFill>
                    <w14:schemeClr w14:val="tx1"/>
                  </w14:solidFill>
                </w14:textFill>
              </w:rPr>
              <w:t>钢筋加工厂、木材加工厂等加工场地，均委托相应企业加工完成后</w:t>
            </w:r>
            <w:r>
              <w:rPr>
                <w:rFonts w:hint="eastAsia" w:ascii="Times New Roman" w:hAnsi="Times New Roman"/>
                <w:color w:val="000000" w:themeColor="text1"/>
                <w:sz w:val="24"/>
                <w14:textFill>
                  <w14:solidFill>
                    <w14:schemeClr w14:val="tx1"/>
                  </w14:solidFill>
                </w14:textFill>
              </w:rPr>
              <w:t>输送至施工场地；</w:t>
            </w:r>
            <w:r>
              <w:rPr>
                <w:rFonts w:ascii="Times New Roman" w:hAnsi="Times New Roman"/>
                <w:color w:val="000000" w:themeColor="text1"/>
                <w:sz w:val="24"/>
                <w14:textFill>
                  <w14:solidFill>
                    <w14:schemeClr w14:val="tx1"/>
                  </w14:solidFill>
                </w14:textFill>
              </w:rPr>
              <w:t>不设置风机设备临时堆存场，风机设备按施工计划合理安排进场时间，进场后直接存放在吊臂组装场地，组装完成后在吊装平台进行吊装</w:t>
            </w:r>
            <w:r>
              <w:rPr>
                <w:rFonts w:hint="eastAsia" w:ascii="Times New Roman" w:hAnsi="Times New Roman"/>
                <w:color w:val="000000" w:themeColor="text1"/>
                <w:sz w:val="24"/>
                <w14:textFill>
                  <w14:solidFill>
                    <w14:schemeClr w14:val="tx1"/>
                  </w14:solidFill>
                </w14:textFill>
              </w:rPr>
              <w:t>。</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②</w:t>
            </w:r>
            <w:r>
              <w:rPr>
                <w:rFonts w:ascii="Times New Roman" w:hAnsi="Times New Roman"/>
                <w:color w:val="000000" w:themeColor="text1"/>
                <w:sz w:val="24"/>
                <w14:textFill>
                  <w14:solidFill>
                    <w14:schemeClr w14:val="tx1"/>
                  </w14:solidFill>
                </w14:textFill>
              </w:rPr>
              <w:t>风机组装</w:t>
            </w:r>
            <w:r>
              <w:rPr>
                <w:rFonts w:hint="eastAsia"/>
                <w:color w:val="000000" w:themeColor="text1"/>
                <w:sz w:val="24"/>
                <w:lang w:val="en-US" w:eastAsia="zh-CN"/>
                <w14:textFill>
                  <w14:solidFill>
                    <w14:schemeClr w14:val="tx1"/>
                  </w14:solidFill>
                </w14:textFill>
              </w:rPr>
              <w:t>和吊装</w:t>
            </w:r>
            <w:r>
              <w:rPr>
                <w:rFonts w:ascii="Times New Roman" w:hAnsi="Times New Roman"/>
                <w:color w:val="000000" w:themeColor="text1"/>
                <w:sz w:val="24"/>
                <w14:textFill>
                  <w14:solidFill>
                    <w14:schemeClr w14:val="tx1"/>
                  </w14:solidFill>
                </w14:textFill>
              </w:rPr>
              <w:t>场地</w:t>
            </w:r>
          </w:p>
          <w:p>
            <w:pPr>
              <w:spacing w:line="360" w:lineRule="auto"/>
              <w:ind w:firstLine="420"/>
              <w:rPr>
                <w:rFonts w:hint="default" w:ascii="宋体" w:hAnsi="宋体" w:eastAsia="宋体" w:cs="宋体"/>
                <w:color w:val="000000" w:themeColor="text1"/>
                <w:kern w:val="0"/>
                <w:szCs w:val="21"/>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风机设备按施工计划进场后直接在吊装平台进行</w:t>
            </w:r>
            <w:r>
              <w:rPr>
                <w:rFonts w:hint="eastAsia"/>
                <w:color w:val="000000" w:themeColor="text1"/>
                <w:sz w:val="24"/>
                <w:lang w:val="en-US" w:eastAsia="zh-CN"/>
                <w14:textFill>
                  <w14:solidFill>
                    <w14:schemeClr w14:val="tx1"/>
                  </w14:solidFill>
                </w14:textFill>
              </w:rPr>
              <w:t>组装和</w:t>
            </w:r>
            <w:r>
              <w:rPr>
                <w:rFonts w:ascii="Times New Roman" w:hAnsi="Times New Roman"/>
                <w:color w:val="000000" w:themeColor="text1"/>
                <w:sz w:val="24"/>
                <w14:textFill>
                  <w14:solidFill>
                    <w14:schemeClr w14:val="tx1"/>
                  </w14:solidFill>
                </w14:textFill>
              </w:rPr>
              <w:t>吊装</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结合本项目所处地形条件及当地交通路况，考虑到本期工程的单机容量，吊装车辆采用</w:t>
            </w:r>
            <w:r>
              <w:rPr>
                <w:rFonts w:hint="eastAsia"/>
                <w:color w:val="000000" w:themeColor="text1"/>
                <w:sz w:val="24"/>
                <w:lang w:val="en-US" w:eastAsia="zh-CN"/>
                <w14:textFill>
                  <w14:solidFill>
                    <w14:schemeClr w14:val="tx1"/>
                  </w14:solidFill>
                </w14:textFill>
              </w:rPr>
              <w:t>8</w:t>
            </w:r>
            <w:r>
              <w:rPr>
                <w:rFonts w:ascii="Times New Roman" w:hAnsi="Times New Roman"/>
                <w:color w:val="000000" w:themeColor="text1"/>
                <w:sz w:val="24"/>
                <w14:textFill>
                  <w14:solidFill>
                    <w14:schemeClr w14:val="tx1"/>
                  </w14:solidFill>
                </w14:textFill>
              </w:rPr>
              <w:t>00t汽车吊作为风机及塔架的主力吊装机械，150t汽车吊一台作为辅助机械，配合主吊车提升塔架和叶轮，使部件在吊装时保持向上位置，同时还可单独用于在地面组装叶轮。另外，还需配备1~2台5t的卡车吊车，用于在设备安装期间风场内搬运设备附件和重型工具。风电机组吊装</w:t>
            </w:r>
            <w:r>
              <w:rPr>
                <w:rFonts w:hint="eastAsia"/>
                <w:color w:val="000000" w:themeColor="text1"/>
                <w:sz w:val="24"/>
                <w:lang w:val="en-US" w:eastAsia="zh-CN"/>
                <w14:textFill>
                  <w14:solidFill>
                    <w14:schemeClr w14:val="tx1"/>
                  </w14:solidFill>
                </w14:textFill>
              </w:rPr>
              <w:t>和组装</w:t>
            </w:r>
            <w:r>
              <w:rPr>
                <w:rFonts w:ascii="Times New Roman" w:hAnsi="Times New Roman"/>
                <w:color w:val="000000" w:themeColor="text1"/>
                <w:sz w:val="24"/>
                <w14:textFill>
                  <w14:solidFill>
                    <w14:schemeClr w14:val="tx1"/>
                  </w14:solidFill>
                </w14:textFill>
              </w:rPr>
              <w:t>场地</w:t>
            </w:r>
            <w:r>
              <w:rPr>
                <w:rFonts w:hint="eastAsia"/>
                <w:color w:val="000000" w:themeColor="text1"/>
                <w:sz w:val="24"/>
                <w:lang w:val="en-US" w:eastAsia="zh-CN"/>
                <w14:textFill>
                  <w14:solidFill>
                    <w14:schemeClr w14:val="tx1"/>
                  </w14:solidFill>
                </w14:textFill>
              </w:rPr>
              <w:t>共8处，</w:t>
            </w:r>
            <w:r>
              <w:rPr>
                <w:rFonts w:hint="eastAsia" w:ascii="Times New Roman" w:hAnsi="Times New Roman"/>
                <w:color w:val="000000" w:themeColor="text1"/>
                <w:sz w:val="24"/>
                <w:lang w:val="en-US" w:eastAsia="zh-CN"/>
                <w14:textFill>
                  <w14:solidFill>
                    <w14:schemeClr w14:val="tx1"/>
                  </w14:solidFill>
                </w14:textFill>
              </w:rPr>
              <w:t>占地面积为</w:t>
            </w:r>
            <w:r>
              <w:rPr>
                <w:rFonts w:hint="eastAsia"/>
                <w:color w:val="000000" w:themeColor="text1"/>
                <w:sz w:val="24"/>
                <w:lang w:val="en-US" w:eastAsia="zh-CN"/>
                <w14:textFill>
                  <w14:solidFill>
                    <w14:schemeClr w14:val="tx1"/>
                  </w14:solidFill>
                </w14:textFill>
              </w:rPr>
              <w:t>1.600</w:t>
            </w:r>
            <w:r>
              <w:rPr>
                <w:rFonts w:ascii="Times New Roman" w:hAnsi="Times New Roman"/>
                <w:color w:val="000000" w:themeColor="text1"/>
                <w:sz w:val="24"/>
                <w14:textFill>
                  <w14:solidFill>
                    <w14:schemeClr w14:val="tx1"/>
                  </w14:solidFill>
                </w14:textFill>
              </w:rPr>
              <w:t>hm</w:t>
            </w:r>
            <w:r>
              <w:rPr>
                <w:rFonts w:ascii="Times New Roman" w:hAnsi="Times New Roman"/>
                <w:color w:val="000000" w:themeColor="text1"/>
                <w:sz w:val="24"/>
                <w:vertAlign w:val="superscript"/>
                <w14:textFill>
                  <w14:solidFill>
                    <w14:schemeClr w14:val="tx1"/>
                  </w14:solidFill>
                </w14:textFill>
              </w:rPr>
              <w:t>2</w:t>
            </w:r>
            <w:r>
              <w:rPr>
                <w:rFonts w:hint="eastAsia" w:ascii="Times New Roman" w:hAnsi="Times New Roman"/>
                <w:color w:val="000000" w:themeColor="text1"/>
                <w:sz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710" w:type="dxa"/>
            <w:noWrap w:val="0"/>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施工方案</w:t>
            </w:r>
          </w:p>
        </w:tc>
        <w:tc>
          <w:tcPr>
            <w:tcW w:w="8380" w:type="dxa"/>
            <w:noWrap w:val="0"/>
            <w:vAlign w:val="center"/>
          </w:tcPr>
          <w:p>
            <w:pPr>
              <w:numPr>
                <w:ilvl w:val="0"/>
                <w:numId w:val="0"/>
              </w:numPr>
              <w:spacing w:line="360" w:lineRule="auto"/>
              <w:ind w:firstLine="482" w:firstLineChars="200"/>
              <w:rPr>
                <w:rFonts w:hint="eastAsia" w:ascii="Times New Roman" w:hAnsi="Times New Roman"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1、</w:t>
            </w:r>
            <w:r>
              <w:rPr>
                <w:rFonts w:ascii="Times New Roman" w:hAnsi="Times New Roman"/>
                <w:b/>
                <w:bCs/>
                <w:color w:val="000000" w:themeColor="text1"/>
                <w:sz w:val="24"/>
                <w14:textFill>
                  <w14:solidFill>
                    <w14:schemeClr w14:val="tx1"/>
                  </w14:solidFill>
                </w14:textFill>
              </w:rPr>
              <w:t>施工</w:t>
            </w:r>
            <w:r>
              <w:rPr>
                <w:rFonts w:hint="eastAsia"/>
                <w:b/>
                <w:bCs/>
                <w:color w:val="000000" w:themeColor="text1"/>
                <w:sz w:val="24"/>
                <w:lang w:val="en-US" w:eastAsia="zh-CN"/>
                <w14:textFill>
                  <w14:solidFill>
                    <w14:schemeClr w14:val="tx1"/>
                  </w14:solidFill>
                </w14:textFill>
              </w:rPr>
              <w:t>方案</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1</w:t>
            </w:r>
            <w:r>
              <w:rPr>
                <w:rFonts w:hint="eastAsia"/>
                <w:color w:val="000000" w:themeColor="text1"/>
                <w:sz w:val="24"/>
                <w:lang w:eastAsia="zh-CN"/>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道路施工</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基础施工</w:t>
            </w:r>
            <w:r>
              <w:rPr>
                <w:rFonts w:hint="eastAsia" w:ascii="Times New Roman" w:hAnsi="Times New Roman"/>
                <w:color w:val="000000" w:themeColor="text1"/>
                <w:sz w:val="24"/>
                <w14:textFill>
                  <w14:solidFill>
                    <w14:schemeClr w14:val="tx1"/>
                  </w14:solidFill>
                </w14:textFill>
              </w:rPr>
              <w:t>顺序</w:t>
            </w:r>
            <w:r>
              <w:rPr>
                <w:rFonts w:ascii="Times New Roman" w:hAnsi="Times New Roman"/>
                <w:color w:val="000000" w:themeColor="text1"/>
                <w:sz w:val="24"/>
                <w14:textFill>
                  <w14:solidFill>
                    <w14:schemeClr w14:val="tx1"/>
                  </w14:solidFill>
                </w14:textFill>
              </w:rPr>
              <w:t>为：</w:t>
            </w:r>
            <w:r>
              <w:rPr>
                <w:rFonts w:hint="eastAsia" w:ascii="Times New Roman" w:hAnsi="Times New Roman"/>
                <w:color w:val="000000" w:themeColor="text1"/>
                <w:sz w:val="24"/>
                <w14:textFill>
                  <w14:solidFill>
                    <w14:schemeClr w14:val="tx1"/>
                  </w14:solidFill>
                </w14:textFill>
              </w:rPr>
              <w:t>施工布置</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清理表土</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路基填筑</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地面平整</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机械碾压。</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2</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主体工程施工</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本次风电场工程施工主要包括风力发电机组基础、箱变基础的开挖和混凝土浇筑、区内建筑物及构筑物施工、机组设备的安装以及电气设备的安装、机组箱变的安装、线缆的安装及升压变电设备的安装。</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fldChar w:fldCharType="begin"/>
            </w:r>
            <w:r>
              <w:rPr>
                <w:rFonts w:ascii="Times New Roman" w:hAnsi="Times New Roman"/>
                <w:color w:val="000000" w:themeColor="text1"/>
                <w:sz w:val="24"/>
                <w14:textFill>
                  <w14:solidFill>
                    <w14:schemeClr w14:val="tx1"/>
                  </w14:solidFill>
                </w14:textFill>
              </w:rPr>
              <w:instrText xml:space="preserve"> = 1 \* GB3 </w:instrText>
            </w:r>
            <w:r>
              <w:rPr>
                <w:rFonts w:ascii="Times New Roman" w:hAnsi="Times New Roman"/>
                <w:color w:val="000000" w:themeColor="text1"/>
                <w:sz w:val="24"/>
                <w14:textFill>
                  <w14:solidFill>
                    <w14:schemeClr w14:val="tx1"/>
                  </w14:solidFill>
                </w14:textFill>
              </w:rPr>
              <w:fldChar w:fldCharType="separate"/>
            </w:r>
            <w:r>
              <w:rPr>
                <w:rFonts w:ascii="Times New Roman" w:hAnsi="Times New Roman"/>
                <w:color w:val="000000" w:themeColor="text1"/>
                <w:sz w:val="24"/>
                <w14:textFill>
                  <w14:solidFill>
                    <w14:schemeClr w14:val="tx1"/>
                  </w14:solidFill>
                </w14:textFill>
              </w:rPr>
              <w:t>①</w:t>
            </w:r>
            <w:r>
              <w:rPr>
                <w:rFonts w:ascii="Times New Roman" w:hAnsi="Times New Roman"/>
                <w:color w:val="000000" w:themeColor="text1"/>
                <w:sz w:val="24"/>
                <w14:textFill>
                  <w14:solidFill>
                    <w14:schemeClr w14:val="tx1"/>
                  </w14:solidFill>
                </w14:textFill>
              </w:rPr>
              <w:fldChar w:fldCharType="end"/>
            </w:r>
            <w:r>
              <w:rPr>
                <w:rFonts w:ascii="Times New Roman" w:hAnsi="Times New Roman"/>
                <w:color w:val="000000" w:themeColor="text1"/>
                <w:sz w:val="24"/>
                <w14:textFill>
                  <w14:solidFill>
                    <w14:schemeClr w14:val="tx1"/>
                  </w14:solidFill>
                </w14:textFill>
              </w:rPr>
              <w:t>风力发电机组及箱变基础工程施工</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基础施工</w:t>
            </w:r>
            <w:r>
              <w:rPr>
                <w:rFonts w:hint="eastAsia" w:ascii="Times New Roman" w:hAnsi="Times New Roman"/>
                <w:color w:val="000000" w:themeColor="text1"/>
                <w:sz w:val="24"/>
                <w14:textFill>
                  <w14:solidFill>
                    <w14:schemeClr w14:val="tx1"/>
                  </w14:solidFill>
                </w14:textFill>
              </w:rPr>
              <w:t>顺序</w:t>
            </w:r>
            <w:r>
              <w:rPr>
                <w:rFonts w:ascii="Times New Roman" w:hAnsi="Times New Roman"/>
                <w:color w:val="000000" w:themeColor="text1"/>
                <w:sz w:val="24"/>
                <w14:textFill>
                  <w14:solidFill>
                    <w14:schemeClr w14:val="tx1"/>
                  </w14:solidFill>
                </w14:textFill>
              </w:rPr>
              <w:t>为：定位放线→基础机械挖土→混凝土灌注桩施工→基槽验收→承台垫层混凝土浇筑→放线→承台钢筋绑扎→预埋管、件、螺栓安装→支模→承台混凝土浇筑→拆模→验收→土石方回填。</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fldChar w:fldCharType="begin"/>
            </w:r>
            <w:r>
              <w:rPr>
                <w:rFonts w:ascii="Times New Roman" w:hAnsi="Times New Roman"/>
                <w:color w:val="000000" w:themeColor="text1"/>
                <w:sz w:val="24"/>
                <w14:textFill>
                  <w14:solidFill>
                    <w14:schemeClr w14:val="tx1"/>
                  </w14:solidFill>
                </w14:textFill>
              </w:rPr>
              <w:instrText xml:space="preserve"> = 2 \* GB3 </w:instrText>
            </w:r>
            <w:r>
              <w:rPr>
                <w:rFonts w:ascii="Times New Roman" w:hAnsi="Times New Roman"/>
                <w:color w:val="000000" w:themeColor="text1"/>
                <w:sz w:val="24"/>
                <w14:textFill>
                  <w14:solidFill>
                    <w14:schemeClr w14:val="tx1"/>
                  </w14:solidFill>
                </w14:textFill>
              </w:rPr>
              <w:fldChar w:fldCharType="separate"/>
            </w:r>
            <w:r>
              <w:rPr>
                <w:rFonts w:ascii="Times New Roman" w:hAnsi="Times New Roman"/>
                <w:color w:val="000000" w:themeColor="text1"/>
                <w:sz w:val="24"/>
                <w14:textFill>
                  <w14:solidFill>
                    <w14:schemeClr w14:val="tx1"/>
                  </w14:solidFill>
                </w14:textFill>
              </w:rPr>
              <w:t>②</w:t>
            </w:r>
            <w:r>
              <w:rPr>
                <w:rFonts w:ascii="Times New Roman" w:hAnsi="Times New Roman"/>
                <w:color w:val="000000" w:themeColor="text1"/>
                <w:sz w:val="24"/>
                <w14:textFill>
                  <w14:solidFill>
                    <w14:schemeClr w14:val="tx1"/>
                  </w14:solidFill>
                </w14:textFill>
              </w:rPr>
              <w:fldChar w:fldCharType="end"/>
            </w:r>
            <w:r>
              <w:rPr>
                <w:rFonts w:ascii="Times New Roman" w:hAnsi="Times New Roman"/>
                <w:color w:val="000000" w:themeColor="text1"/>
                <w:sz w:val="24"/>
                <w14:textFill>
                  <w14:solidFill>
                    <w14:schemeClr w14:val="tx1"/>
                  </w14:solidFill>
                </w14:textFill>
              </w:rPr>
              <w:t>风力发电机组安装</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包括施工准备、塔架安装、风力发电机安装、机舱安装、叶片安装、电气设备安装。</w:t>
            </w:r>
          </w:p>
          <w:p>
            <w:pPr>
              <w:spacing w:line="360" w:lineRule="auto"/>
              <w:ind w:firstLine="420"/>
              <w:rPr>
                <w:rFonts w:ascii="Times New Roman" w:hAnsi="Times New Roman"/>
                <w:color w:val="000000" w:themeColor="text1"/>
                <w:sz w:val="24"/>
                <w14:textFill>
                  <w14:solidFill>
                    <w14:schemeClr w14:val="tx1"/>
                  </w14:solidFill>
                </w14:textFill>
              </w:rPr>
            </w:pPr>
            <w:bookmarkStart w:id="16" w:name="_Toc194758572"/>
            <w:bookmarkStart w:id="17" w:name="_Toc232923999"/>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3</w:t>
            </w:r>
            <w:r>
              <w:rPr>
                <w:rFonts w:hint="eastAsia"/>
                <w:color w:val="000000" w:themeColor="text1"/>
                <w:sz w:val="24"/>
                <w:lang w:eastAsia="zh-CN"/>
                <w14:textFill>
                  <w14:solidFill>
                    <w14:schemeClr w14:val="tx1"/>
                  </w14:solidFill>
                </w14:textFill>
              </w:rPr>
              <w:t>）</w:t>
            </w:r>
            <w:bookmarkEnd w:id="16"/>
            <w:bookmarkEnd w:id="17"/>
            <w:r>
              <w:rPr>
                <w:rFonts w:ascii="Times New Roman" w:hAnsi="Times New Roman"/>
                <w:color w:val="000000" w:themeColor="text1"/>
                <w:sz w:val="24"/>
                <w14:textFill>
                  <w14:solidFill>
                    <w14:schemeClr w14:val="tx1"/>
                  </w14:solidFill>
                </w14:textFill>
              </w:rPr>
              <w:t>35kV开关站施工</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开关站设置有35kV配电室、SVG室、接地变电阻柜、办公室以及危险废物暂存间等。</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基础施工顺序为：施工准备→场地平整、碾压→基坑开挖→混凝土基础施工→基坑回填→电气设备安装。</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a</w:t>
            </w:r>
            <w:r>
              <w:rPr>
                <w:rFonts w:ascii="Times New Roman" w:hAnsi="Times New Roman"/>
                <w:color w:val="000000" w:themeColor="text1"/>
                <w:sz w:val="24"/>
                <w14:textFill>
                  <w14:solidFill>
                    <w14:schemeClr w14:val="tx1"/>
                  </w14:solidFill>
                </w14:textFill>
              </w:rPr>
              <w:t>建筑基础施工</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场地清理，采用推土机配合人工清理。然后用10t振动碾，将场地碾平。</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b</w:t>
            </w:r>
            <w:r>
              <w:rPr>
                <w:rFonts w:ascii="Times New Roman" w:hAnsi="Times New Roman"/>
                <w:color w:val="000000" w:themeColor="text1"/>
                <w:sz w:val="24"/>
                <w14:textFill>
                  <w14:solidFill>
                    <w14:schemeClr w14:val="tx1"/>
                  </w14:solidFill>
                </w14:textFill>
              </w:rPr>
              <w:t>建筑施工</w:t>
            </w:r>
          </w:p>
          <w:p>
            <w:pPr>
              <w:spacing w:line="360" w:lineRule="auto"/>
              <w:ind w:firstLine="420"/>
              <w:rPr>
                <w:rFonts w:hint="default" w:ascii="Times New Roman" w:hAnsi="Times New Roman" w:cs="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施工顺序为：施工准备→基础开挖→地基处理→基础混凝土浇筑→墙体砌筑→混凝土柱→梁、楼板浇筑→给排水系统施工→电气设备就位安装调试。</w:t>
            </w:r>
          </w:p>
          <w:p>
            <w:pPr>
              <w:numPr>
                <w:ilvl w:val="0"/>
                <w:numId w:val="0"/>
              </w:numPr>
              <w:spacing w:line="360" w:lineRule="auto"/>
              <w:ind w:firstLine="482" w:firstLineChars="20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2、施工时序</w:t>
            </w:r>
          </w:p>
          <w:p>
            <w:pPr>
              <w:spacing w:line="360" w:lineRule="auto"/>
              <w:ind w:firstLine="420"/>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按照施工单位的施工组织计划进行有序施工，首先选取不需挖填方的进场道路进入</w:t>
            </w:r>
            <w:r>
              <w:rPr>
                <w:rFonts w:hint="eastAsia"/>
                <w:color w:val="000000" w:themeColor="text1"/>
                <w:sz w:val="24"/>
                <w:lang w:val="en-US" w:eastAsia="zh-CN"/>
                <w14:textFill>
                  <w14:solidFill>
                    <w14:schemeClr w14:val="tx1"/>
                  </w14:solidFill>
                </w14:textFill>
              </w:rPr>
              <w:t>2</w:t>
            </w:r>
            <w:r>
              <w:rPr>
                <w:rFonts w:hint="eastAsia" w:ascii="Times New Roman" w:hAnsi="Times New Roman"/>
                <w:color w:val="000000" w:themeColor="text1"/>
                <w:sz w:val="24"/>
                <w14:textFill>
                  <w14:solidFill>
                    <w14:schemeClr w14:val="tx1"/>
                  </w14:solidFill>
                </w14:textFill>
              </w:rPr>
              <w:t>号风机位，进行风机基础开挖，基座填方后剩余的土方外运作为其他进场道路进行回填；</w:t>
            </w:r>
            <w:r>
              <w:rPr>
                <w:rFonts w:ascii="Times New Roman" w:hAnsi="Times New Roman"/>
                <w:color w:val="000000" w:themeColor="text1"/>
                <w:kern w:val="24"/>
                <w:sz w:val="24"/>
                <w14:textFill>
                  <w14:solidFill>
                    <w14:schemeClr w14:val="tx1"/>
                  </w14:solidFill>
                </w14:textFill>
              </w:rPr>
              <w:t>道路工程挖方路段开挖土方就近运至填方路段回填，由于施工时序上存在间隙，开挖的土方可先临时堆置在道路工程区周边临时堆土场，待填方路段施工时调入，半挖半填路段开挖土方可就近自身回填利用，土方回填期间，需碾压、夯实。</w:t>
            </w:r>
            <w:r>
              <w:rPr>
                <w:rFonts w:hint="eastAsia" w:ascii="Times New Roman" w:hAnsi="Times New Roman"/>
                <w:color w:val="000000" w:themeColor="text1"/>
                <w:sz w:val="24"/>
                <w14:textFill>
                  <w14:solidFill>
                    <w14:schemeClr w14:val="tx1"/>
                  </w14:solidFill>
                </w14:textFill>
              </w:rPr>
              <w:t>如此循环有序进行的按照施工组织计划施工，保证风机机位的剩余土方用于场内道路平整，实现整体工程的土石方平衡。</w:t>
            </w:r>
          </w:p>
          <w:p>
            <w:pPr>
              <w:numPr>
                <w:ilvl w:val="0"/>
                <w:numId w:val="0"/>
              </w:numPr>
              <w:spacing w:line="360" w:lineRule="auto"/>
              <w:ind w:firstLine="482" w:firstLineChars="200"/>
              <w:rPr>
                <w:rFonts w:hint="default"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3、</w:t>
            </w:r>
            <w:r>
              <w:rPr>
                <w:rFonts w:hint="default" w:eastAsia="宋体"/>
                <w:b/>
                <w:bCs/>
                <w:color w:val="000000" w:themeColor="text1"/>
                <w:sz w:val="24"/>
                <w:lang w:val="en-US" w:eastAsia="zh-CN"/>
                <w14:textFill>
                  <w14:solidFill>
                    <w14:schemeClr w14:val="tx1"/>
                  </w14:solidFill>
                </w14:textFill>
              </w:rPr>
              <w:t>施工水电供给</w:t>
            </w:r>
          </w:p>
          <w:p>
            <w:pPr>
              <w:spacing w:line="360" w:lineRule="auto"/>
              <w:ind w:firstLine="42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fldChar w:fldCharType="begin"/>
            </w:r>
            <w:r>
              <w:rPr>
                <w:rFonts w:hint="default" w:ascii="Times New Roman" w:hAnsi="Times New Roman" w:cs="Times New Roman"/>
                <w:color w:val="000000" w:themeColor="text1"/>
                <w:sz w:val="24"/>
                <w14:textFill>
                  <w14:solidFill>
                    <w14:schemeClr w14:val="tx1"/>
                  </w14:solidFill>
                </w14:textFill>
              </w:rPr>
              <w:instrText xml:space="preserve"> = 1 \* GB3 </w:instrText>
            </w:r>
            <w:r>
              <w:rPr>
                <w:rFonts w:hint="default" w:ascii="Times New Roman" w:hAnsi="Times New Roman" w:cs="Times New Roman"/>
                <w:color w:val="000000" w:themeColor="text1"/>
                <w:sz w:val="24"/>
                <w14:textFill>
                  <w14:solidFill>
                    <w14:schemeClr w14:val="tx1"/>
                  </w14:solidFill>
                </w14:textFill>
              </w:rPr>
              <w:fldChar w:fldCharType="separate"/>
            </w:r>
            <w:r>
              <w:rPr>
                <w:rFonts w:hint="default" w:ascii="Times New Roman" w:hAnsi="Times New Roman" w:cs="Times New Roman"/>
                <w:color w:val="000000" w:themeColor="text1"/>
                <w:sz w:val="24"/>
                <w14:textFill>
                  <w14:solidFill>
                    <w14:schemeClr w14:val="tx1"/>
                  </w14:solidFill>
                </w14:textFill>
              </w:rPr>
              <w:t>①</w:t>
            </w:r>
            <w:r>
              <w:rPr>
                <w:rFonts w:hint="default" w:ascii="Times New Roman" w:hAnsi="Times New Roman" w:cs="Times New Roman"/>
                <w:color w:val="000000" w:themeColor="text1"/>
                <w:sz w:val="24"/>
                <w14:textFill>
                  <w14:solidFill>
                    <w14:schemeClr w14:val="tx1"/>
                  </w14:solidFill>
                </w14:textFill>
              </w:rPr>
              <w:fldChar w:fldCharType="end"/>
            </w:r>
            <w:r>
              <w:rPr>
                <w:rFonts w:hint="default" w:ascii="Times New Roman" w:hAnsi="Times New Roman" w:cs="Times New Roman"/>
                <w:color w:val="000000" w:themeColor="text1"/>
                <w:sz w:val="24"/>
                <w14:textFill>
                  <w14:solidFill>
                    <w14:schemeClr w14:val="tx1"/>
                  </w14:solidFill>
                </w14:textFill>
              </w:rPr>
              <w:t>施工供电</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施工用电可从附近村庄或附近10kV线路引接，各机位的施工电源可以通过自备的</w:t>
            </w:r>
            <w:r>
              <w:rPr>
                <w:rFonts w:hint="eastAsia"/>
                <w:color w:val="000000" w:themeColor="text1"/>
                <w:sz w:val="24"/>
                <w:lang w:val="en-US" w:eastAsia="zh-CN"/>
                <w14:textFill>
                  <w14:solidFill>
                    <w14:schemeClr w14:val="tx1"/>
                  </w14:solidFill>
                </w14:textFill>
              </w:rPr>
              <w:t>2</w:t>
            </w:r>
            <w:r>
              <w:rPr>
                <w:rFonts w:ascii="Times New Roman" w:hAnsi="Times New Roman"/>
                <w:color w:val="000000" w:themeColor="text1"/>
                <w:sz w:val="24"/>
                <w14:textFill>
                  <w14:solidFill>
                    <w14:schemeClr w14:val="tx1"/>
                  </w14:solidFill>
                </w14:textFill>
              </w:rPr>
              <w:t>台50kW小型柴油发电机解决。</w:t>
            </w:r>
          </w:p>
          <w:p>
            <w:pPr>
              <w:spacing w:line="360" w:lineRule="auto"/>
              <w:ind w:firstLine="42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fldChar w:fldCharType="begin"/>
            </w:r>
            <w:r>
              <w:rPr>
                <w:rFonts w:hint="default" w:ascii="Times New Roman" w:hAnsi="Times New Roman" w:cs="Times New Roman"/>
                <w:color w:val="000000" w:themeColor="text1"/>
                <w:sz w:val="24"/>
                <w14:textFill>
                  <w14:solidFill>
                    <w14:schemeClr w14:val="tx1"/>
                  </w14:solidFill>
                </w14:textFill>
              </w:rPr>
              <w:instrText xml:space="preserve"> = 2 \* GB3 </w:instrText>
            </w:r>
            <w:r>
              <w:rPr>
                <w:rFonts w:hint="default" w:ascii="Times New Roman" w:hAnsi="Times New Roman" w:cs="Times New Roman"/>
                <w:color w:val="000000" w:themeColor="text1"/>
                <w:sz w:val="24"/>
                <w14:textFill>
                  <w14:solidFill>
                    <w14:schemeClr w14:val="tx1"/>
                  </w14:solidFill>
                </w14:textFill>
              </w:rPr>
              <w:fldChar w:fldCharType="separate"/>
            </w:r>
            <w:r>
              <w:rPr>
                <w:rFonts w:hint="default" w:ascii="Times New Roman" w:hAnsi="Times New Roman" w:cs="Times New Roman"/>
                <w:color w:val="000000" w:themeColor="text1"/>
                <w:sz w:val="24"/>
                <w14:textFill>
                  <w14:solidFill>
                    <w14:schemeClr w14:val="tx1"/>
                  </w14:solidFill>
                </w14:textFill>
              </w:rPr>
              <w:t>②</w:t>
            </w:r>
            <w:r>
              <w:rPr>
                <w:rFonts w:hint="default" w:ascii="Times New Roman" w:hAnsi="Times New Roman" w:cs="Times New Roman"/>
                <w:color w:val="000000" w:themeColor="text1"/>
                <w:sz w:val="24"/>
                <w14:textFill>
                  <w14:solidFill>
                    <w14:schemeClr w14:val="tx1"/>
                  </w14:solidFill>
                </w14:textFill>
              </w:rPr>
              <w:fldChar w:fldCharType="end"/>
            </w:r>
            <w:r>
              <w:rPr>
                <w:rFonts w:hint="default" w:ascii="Times New Roman" w:hAnsi="Times New Roman" w:cs="Times New Roman"/>
                <w:color w:val="000000" w:themeColor="text1"/>
                <w:sz w:val="24"/>
                <w14:textFill>
                  <w14:solidFill>
                    <w14:schemeClr w14:val="tx1"/>
                  </w14:solidFill>
                </w14:textFill>
              </w:rPr>
              <w:t>施工供水</w:t>
            </w:r>
          </w:p>
          <w:p>
            <w:pPr>
              <w:spacing w:line="360" w:lineRule="auto"/>
              <w:ind w:firstLine="420"/>
              <w:rPr>
                <w:rFonts w:ascii="Times New Roman" w:hAnsi="Times New Roman"/>
                <w:color w:val="FF0000"/>
                <w:sz w:val="24"/>
              </w:rPr>
            </w:pPr>
            <w:r>
              <w:rPr>
                <w:rFonts w:ascii="Times New Roman" w:hAnsi="Times New Roman"/>
                <w:color w:val="FF0000"/>
                <w:sz w:val="24"/>
              </w:rPr>
              <w:t>施工生产用水水源依托村庄农户用水，施工临建场地</w:t>
            </w:r>
            <w:r>
              <w:rPr>
                <w:rFonts w:hint="eastAsia"/>
                <w:color w:val="FF0000"/>
                <w:sz w:val="24"/>
                <w:lang w:eastAsia="zh-CN"/>
              </w:rPr>
              <w:t>、</w:t>
            </w:r>
            <w:r>
              <w:rPr>
                <w:rFonts w:ascii="Times New Roman" w:hAnsi="Times New Roman"/>
                <w:color w:val="FF0000"/>
                <w:sz w:val="24"/>
              </w:rPr>
              <w:t>各风力发电机组基础和道路施工等用水可用罐车或者水箱从村庄取水。生活用水依托</w:t>
            </w:r>
            <w:r>
              <w:rPr>
                <w:rFonts w:hint="eastAsia"/>
                <w:color w:val="FF0000"/>
                <w:sz w:val="24"/>
                <w:lang w:val="en-US" w:eastAsia="zh-CN"/>
              </w:rPr>
              <w:t>附近村镇</w:t>
            </w:r>
            <w:r>
              <w:rPr>
                <w:rFonts w:ascii="Times New Roman" w:hAnsi="Times New Roman"/>
                <w:color w:val="FF0000"/>
                <w:sz w:val="24"/>
              </w:rPr>
              <w:t>用水。</w:t>
            </w:r>
          </w:p>
          <w:p>
            <w:pPr>
              <w:numPr>
                <w:ilvl w:val="0"/>
                <w:numId w:val="0"/>
              </w:numPr>
              <w:spacing w:line="360" w:lineRule="auto"/>
              <w:ind w:firstLine="482" w:firstLineChars="200"/>
              <w:rPr>
                <w:rFonts w:hint="default"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4、</w:t>
            </w:r>
            <w:r>
              <w:rPr>
                <w:rFonts w:hint="default" w:eastAsia="宋体"/>
                <w:b/>
                <w:bCs/>
                <w:color w:val="000000" w:themeColor="text1"/>
                <w:sz w:val="24"/>
                <w:lang w:val="en-US" w:eastAsia="zh-CN"/>
                <w14:textFill>
                  <w14:solidFill>
                    <w14:schemeClr w14:val="tx1"/>
                  </w14:solidFill>
                </w14:textFill>
              </w:rPr>
              <w:t>施工建筑材料</w:t>
            </w:r>
          </w:p>
          <w:p>
            <w:pPr>
              <w:numPr>
                <w:ilvl w:val="0"/>
                <w:numId w:val="0"/>
              </w:num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施工材料主要有商用混凝土、钢材、木材及生活、生产小型物资均在</w:t>
            </w:r>
            <w:r>
              <w:rPr>
                <w:rFonts w:hint="eastAsia"/>
                <w:color w:val="000000" w:themeColor="text1"/>
                <w:sz w:val="24"/>
                <w:lang w:val="en-US" w:eastAsia="zh-CN"/>
                <w14:textFill>
                  <w14:solidFill>
                    <w14:schemeClr w14:val="tx1"/>
                  </w14:solidFill>
                </w14:textFill>
              </w:rPr>
              <w:t>澄城县</w:t>
            </w:r>
            <w:r>
              <w:rPr>
                <w:rFonts w:ascii="Times New Roman" w:hAnsi="Times New Roman"/>
                <w:color w:val="000000" w:themeColor="text1"/>
                <w:sz w:val="24"/>
                <w14:textFill>
                  <w14:solidFill>
                    <w14:schemeClr w14:val="tx1"/>
                  </w14:solidFill>
                </w14:textFill>
              </w:rPr>
              <w:t>及附近村镇购买，交通运输条件便利。</w:t>
            </w:r>
          </w:p>
          <w:p>
            <w:pPr>
              <w:numPr>
                <w:ilvl w:val="0"/>
                <w:numId w:val="0"/>
              </w:numPr>
              <w:spacing w:line="360" w:lineRule="auto"/>
              <w:ind w:firstLine="482" w:firstLineChars="200"/>
              <w:rPr>
                <w:rFonts w:hint="default"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5、</w:t>
            </w:r>
            <w:r>
              <w:rPr>
                <w:rFonts w:hint="default" w:eastAsia="宋体"/>
                <w:b/>
                <w:bCs/>
                <w:color w:val="000000" w:themeColor="text1"/>
                <w:sz w:val="24"/>
                <w:lang w:val="en-US" w:eastAsia="zh-CN"/>
                <w14:textFill>
                  <w14:solidFill>
                    <w14:schemeClr w14:val="tx1"/>
                  </w14:solidFill>
                </w14:textFill>
              </w:rPr>
              <w:t>施工交通运输</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根据风电场风电机组的总体布局，场内交通运输线路在充分利用现有道路的情况下，经布置需建设场内简易道路约</w:t>
            </w:r>
            <w:r>
              <w:rPr>
                <w:rFonts w:hint="eastAsia"/>
                <w:color w:val="000000" w:themeColor="text1"/>
                <w:sz w:val="24"/>
                <w:lang w:val="en-US" w:eastAsia="zh-CN"/>
                <w14:textFill>
                  <w14:solidFill>
                    <w14:schemeClr w14:val="tx1"/>
                  </w14:solidFill>
                </w14:textFill>
              </w:rPr>
              <w:t>5.42</w:t>
            </w:r>
            <w:r>
              <w:rPr>
                <w:rFonts w:ascii="Times New Roman" w:hAnsi="Times New Roman"/>
                <w:color w:val="000000" w:themeColor="text1"/>
                <w:sz w:val="24"/>
                <w14:textFill>
                  <w14:solidFill>
                    <w14:schemeClr w14:val="tx1"/>
                  </w14:solidFill>
                </w14:textFill>
              </w:rPr>
              <w:t>km（新建道路</w:t>
            </w:r>
            <w:r>
              <w:rPr>
                <w:rFonts w:hint="eastAsia"/>
                <w:color w:val="000000" w:themeColor="text1"/>
                <w:sz w:val="24"/>
                <w:lang w:val="en-US" w:eastAsia="zh-CN"/>
                <w14:textFill>
                  <w14:solidFill>
                    <w14:schemeClr w14:val="tx1"/>
                  </w14:solidFill>
                </w14:textFill>
              </w:rPr>
              <w:t>2.651</w:t>
            </w:r>
            <w:r>
              <w:rPr>
                <w:rFonts w:ascii="Times New Roman" w:hAnsi="Times New Roman"/>
                <w:color w:val="000000" w:themeColor="text1"/>
                <w:sz w:val="24"/>
                <w14:textFill>
                  <w14:solidFill>
                    <w14:schemeClr w14:val="tx1"/>
                  </w14:solidFill>
                </w14:textFill>
              </w:rPr>
              <w:t>km，改建道路</w:t>
            </w:r>
            <w:r>
              <w:rPr>
                <w:rFonts w:hint="eastAsia"/>
                <w:color w:val="000000" w:themeColor="text1"/>
                <w:sz w:val="24"/>
                <w:lang w:val="en-US" w:eastAsia="zh-CN"/>
                <w14:textFill>
                  <w14:solidFill>
                    <w14:schemeClr w14:val="tx1"/>
                  </w14:solidFill>
                </w14:textFill>
              </w:rPr>
              <w:t>2.77</w:t>
            </w:r>
            <w:r>
              <w:rPr>
                <w:rFonts w:ascii="Times New Roman" w:hAnsi="Times New Roman"/>
                <w:color w:val="000000" w:themeColor="text1"/>
                <w:sz w:val="24"/>
                <w14:textFill>
                  <w14:solidFill>
                    <w14:schemeClr w14:val="tx1"/>
                  </w14:solidFill>
                </w14:textFill>
              </w:rPr>
              <w:t>km），道路宽度5.</w:t>
            </w:r>
            <w:r>
              <w:rPr>
                <w:rFonts w:hint="eastAsia"/>
                <w:color w:val="000000" w:themeColor="text1"/>
                <w:sz w:val="24"/>
                <w:lang w:val="en-US" w:eastAsia="zh-CN"/>
                <w14:textFill>
                  <w14:solidFill>
                    <w14:schemeClr w14:val="tx1"/>
                  </w14:solidFill>
                </w14:textFill>
              </w:rPr>
              <w:t>0</w:t>
            </w:r>
            <w:r>
              <w:rPr>
                <w:rFonts w:ascii="Times New Roman" w:hAnsi="Times New Roman"/>
                <w:color w:val="000000" w:themeColor="text1"/>
                <w:sz w:val="24"/>
                <w14:textFill>
                  <w14:solidFill>
                    <w14:schemeClr w14:val="tx1"/>
                  </w14:solidFill>
                </w14:textFill>
              </w:rPr>
              <w:t>m，道路平曲线半径及通道宽度应当满足风机设计厂家或运输单位提出的最小指标要求。风电场建成后临时占地均进行植被恢复。</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场内道路紧靠风电机组旁边布置，以满足设备一次运输到位及大型汽车吊的运行、基础施工及风机安装需要。</w:t>
            </w:r>
          </w:p>
          <w:p>
            <w:pPr>
              <w:numPr>
                <w:ilvl w:val="0"/>
                <w:numId w:val="0"/>
              </w:numPr>
              <w:spacing w:line="360" w:lineRule="auto"/>
              <w:ind w:firstLine="482" w:firstLineChars="20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6、施工周期</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工程建设总工期为</w:t>
            </w:r>
            <w:r>
              <w:rPr>
                <w:rFonts w:hint="eastAsia"/>
                <w:color w:val="000000" w:themeColor="text1"/>
                <w:sz w:val="24"/>
                <w:lang w:val="en-US" w:eastAsia="zh-CN"/>
                <w14:textFill>
                  <w14:solidFill>
                    <w14:schemeClr w14:val="tx1"/>
                  </w14:solidFill>
                </w14:textFill>
              </w:rPr>
              <w:t>6</w:t>
            </w:r>
            <w:r>
              <w:rPr>
                <w:rFonts w:ascii="Times New Roman" w:hAnsi="Times New Roman"/>
                <w:color w:val="000000" w:themeColor="text1"/>
                <w:sz w:val="24"/>
                <w14:textFill>
                  <w14:solidFill>
                    <w14:schemeClr w14:val="tx1"/>
                  </w14:solidFill>
                </w14:textFill>
              </w:rPr>
              <w:t>个月。</w:t>
            </w:r>
          </w:p>
          <w:p>
            <w:pPr>
              <w:numPr>
                <w:ilvl w:val="0"/>
                <w:numId w:val="0"/>
              </w:numPr>
              <w:spacing w:line="360" w:lineRule="auto"/>
              <w:ind w:firstLine="482" w:firstLineChars="20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7、人员安排</w:t>
            </w:r>
          </w:p>
          <w:p>
            <w:pPr>
              <w:adjustRightInd w:val="0"/>
              <w:snapToGrid w:val="0"/>
              <w:spacing w:line="360" w:lineRule="auto"/>
              <w:ind w:firstLine="480" w:firstLineChars="200"/>
              <w:rPr>
                <w:rFonts w:ascii="宋体" w:hAnsi="宋体" w:cs="宋体"/>
                <w:color w:val="000000" w:themeColor="text1"/>
                <w:kern w:val="0"/>
                <w:szCs w:val="21"/>
                <w14:textFill>
                  <w14:solidFill>
                    <w14:schemeClr w14:val="tx1"/>
                  </w14:solidFill>
                </w14:textFill>
              </w:rPr>
            </w:pPr>
            <w:r>
              <w:rPr>
                <w:rFonts w:ascii="Times New Roman" w:hAnsi="Times New Roman"/>
                <w:color w:val="000000" w:themeColor="text1"/>
                <w:sz w:val="24"/>
                <w14:textFill>
                  <w14:solidFill>
                    <w14:schemeClr w14:val="tx1"/>
                  </w14:solidFill>
                </w14:textFill>
              </w:rPr>
              <w:t>施工人员均雇佣就近村民，不设置食宿，高峰劳动力约</w:t>
            </w:r>
            <w:r>
              <w:rPr>
                <w:rFonts w:hint="eastAsia"/>
                <w:color w:val="000000" w:themeColor="text1"/>
                <w:sz w:val="24"/>
                <w:lang w:val="en-US" w:eastAsia="zh-CN"/>
                <w14:textFill>
                  <w14:solidFill>
                    <w14:schemeClr w14:val="tx1"/>
                  </w14:solidFill>
                </w14:textFill>
              </w:rPr>
              <w:t>30</w:t>
            </w:r>
            <w:r>
              <w:rPr>
                <w:rFonts w:ascii="Times New Roman" w:hAnsi="Times New Roman"/>
                <w:color w:val="000000" w:themeColor="text1"/>
                <w:sz w:val="24"/>
                <w14:textFill>
                  <w14:solidFill>
                    <w14:schemeClr w14:val="tx1"/>
                  </w14:solidFill>
                </w14:textFill>
              </w:rPr>
              <w:t>人。管理人员10人，住宿依托施工临建场地，临建场地不设置食堂，就近村镇解决。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74" w:hRule="atLeast"/>
          <w:jc w:val="center"/>
        </w:trPr>
        <w:tc>
          <w:tcPr>
            <w:tcW w:w="710" w:type="dxa"/>
            <w:noWrap w:val="0"/>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其他</w:t>
            </w:r>
          </w:p>
        </w:tc>
        <w:tc>
          <w:tcPr>
            <w:tcW w:w="8380" w:type="dxa"/>
            <w:noWrap w:val="0"/>
            <w:vAlign w:val="center"/>
          </w:tcPr>
          <w:p>
            <w:pPr>
              <w:numPr>
                <w:ilvl w:val="0"/>
                <w:numId w:val="0"/>
              </w:numPr>
              <w:spacing w:line="360" w:lineRule="auto"/>
              <w:ind w:firstLine="482" w:firstLineChars="20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1、风机选型比选</w:t>
            </w:r>
          </w:p>
          <w:p>
            <w:pPr>
              <w:adjustRightInd w:val="0"/>
              <w:snapToGrid w:val="0"/>
              <w:spacing w:line="360" w:lineRule="auto"/>
              <w:ind w:firstLine="480" w:firstLineChars="20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（1）比选机型参数</w:t>
            </w:r>
          </w:p>
          <w:p>
            <w:pPr>
              <w:adjustRightInd w:val="0"/>
              <w:snapToGrid w:val="0"/>
              <w:spacing w:line="360" w:lineRule="auto"/>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本项目风电场</w:t>
            </w:r>
            <w:r>
              <w:rPr>
                <w:rFonts w:hint="eastAsia" w:ascii="Times New Roman" w:hAnsi="Times New Roman"/>
                <w:color w:val="000000" w:themeColor="text1"/>
                <w:sz w:val="24"/>
                <w:lang w:val="en-US" w:eastAsia="zh-CN"/>
                <w14:textFill>
                  <w14:solidFill>
                    <w14:schemeClr w14:val="tx1"/>
                  </w14:solidFill>
                </w14:textFill>
              </w:rPr>
              <w:t>风能资源条件</w:t>
            </w:r>
            <w:r>
              <w:rPr>
                <w:rFonts w:hint="eastAsia"/>
                <w:color w:val="000000" w:themeColor="text1"/>
                <w:sz w:val="24"/>
                <w:lang w:val="en-US" w:eastAsia="zh-CN"/>
                <w14:textFill>
                  <w14:solidFill>
                    <w14:schemeClr w14:val="tx1"/>
                  </w14:solidFill>
                </w14:textFill>
              </w:rPr>
              <w:t>较好</w:t>
            </w:r>
            <w:r>
              <w:rPr>
                <w:rFonts w:hint="eastAsia" w:ascii="Times New Roman" w:hAnsi="Times New Roman"/>
                <w:color w:val="000000" w:themeColor="text1"/>
                <w:sz w:val="24"/>
                <w:lang w:val="en-US" w:eastAsia="zh-CN"/>
                <w14:textFill>
                  <w14:solidFill>
                    <w14:schemeClr w14:val="tx1"/>
                  </w14:solidFill>
                </w14:textFill>
              </w:rPr>
              <w:t>、破坏性风速少</w:t>
            </w:r>
            <w:r>
              <w:rPr>
                <w:rFonts w:hint="eastAsia"/>
                <w:color w:val="000000" w:themeColor="text1"/>
                <w:sz w:val="24"/>
                <w:lang w:val="en-US"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湍流强度低</w:t>
            </w:r>
            <w:r>
              <w:rPr>
                <w:rFonts w:hint="eastAsia"/>
                <w:color w:val="000000" w:themeColor="text1"/>
                <w:sz w:val="24"/>
                <w:lang w:val="en-US"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对外对内交通运输条件方便</w:t>
            </w:r>
            <w:r>
              <w:rPr>
                <w:rFonts w:hint="eastAsia"/>
                <w:color w:val="000000" w:themeColor="text1"/>
                <w:sz w:val="24"/>
                <w:lang w:val="en-US"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从充分利用风电场风能资源和风电机组安全的统一性考虑，本次拟选择单机容量为</w:t>
            </w:r>
            <w:r>
              <w:rPr>
                <w:rFonts w:hint="default" w:ascii="Times New Roman" w:hAnsi="Times New Roman"/>
                <w:color w:val="000000" w:themeColor="text1"/>
                <w:sz w:val="24"/>
                <w:lang w:val="en-US" w:eastAsia="zh-CN"/>
                <w14:textFill>
                  <w14:solidFill>
                    <w14:schemeClr w14:val="tx1"/>
                  </w14:solidFill>
                </w14:textFill>
              </w:rPr>
              <w:t>2.5-3.0MW</w:t>
            </w:r>
            <w:r>
              <w:rPr>
                <w:rFonts w:hint="eastAsia" w:ascii="Times New Roman" w:hAnsi="Times New Roman"/>
                <w:color w:val="000000" w:themeColor="text1"/>
                <w:sz w:val="24"/>
                <w:lang w:val="en-US" w:eastAsia="zh-CN"/>
                <w14:textFill>
                  <w14:solidFill>
                    <w14:schemeClr w14:val="tx1"/>
                  </w14:solidFill>
                </w14:textFill>
              </w:rPr>
              <w:t>的风电机组</w:t>
            </w:r>
            <w:r>
              <w:rPr>
                <w:rFonts w:hint="eastAsia"/>
                <w:color w:val="000000" w:themeColor="text1"/>
                <w:sz w:val="24"/>
                <w:lang w:val="en-US" w:eastAsia="zh-CN"/>
                <w14:textFill>
                  <w14:solidFill>
                    <w14:schemeClr w14:val="tx1"/>
                  </w14:solidFill>
                </w14:textFill>
              </w:rPr>
              <w:t>，选用以下3种机型进行比选，各比选机型主要参数见下表5-10。</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表5-10  比选机型主要参数表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382"/>
              <w:gridCol w:w="1046"/>
              <w:gridCol w:w="1735"/>
              <w:gridCol w:w="1618"/>
              <w:gridCol w:w="16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序号</w:t>
                  </w:r>
                </w:p>
              </w:tc>
              <w:tc>
                <w:tcPr>
                  <w:tcW w:w="1382"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w:t>
                  </w:r>
                </w:p>
              </w:tc>
              <w:tc>
                <w:tcPr>
                  <w:tcW w:w="1046"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单位</w:t>
                  </w:r>
                </w:p>
              </w:tc>
              <w:tc>
                <w:tcPr>
                  <w:tcW w:w="1735"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WTG1-140/2.5</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WTG2-147/2.5</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WTG3-140/3.0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restart"/>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w:t>
                  </w:r>
                </w:p>
              </w:tc>
              <w:tc>
                <w:tcPr>
                  <w:tcW w:w="1382"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单机容量</w:t>
                  </w:r>
                </w:p>
              </w:tc>
              <w:tc>
                <w:tcPr>
                  <w:tcW w:w="1046"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kW</w:t>
                  </w:r>
                </w:p>
              </w:tc>
              <w:tc>
                <w:tcPr>
                  <w:tcW w:w="1735"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2500</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2500</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p>
              </w:tc>
              <w:tc>
                <w:tcPr>
                  <w:tcW w:w="7399" w:type="dxa"/>
                  <w:gridSpan w:val="5"/>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转轮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p>
              </w:tc>
              <w:tc>
                <w:tcPr>
                  <w:tcW w:w="1382"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直径</w:t>
                  </w:r>
                </w:p>
              </w:tc>
              <w:tc>
                <w:tcPr>
                  <w:tcW w:w="1046"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m</w:t>
                  </w:r>
                </w:p>
              </w:tc>
              <w:tc>
                <w:tcPr>
                  <w:tcW w:w="1735"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140</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147</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p>
              </w:tc>
              <w:tc>
                <w:tcPr>
                  <w:tcW w:w="1382"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风向</w:t>
                  </w:r>
                </w:p>
              </w:tc>
              <w:tc>
                <w:tcPr>
                  <w:tcW w:w="1046"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735"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上风向</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上风向</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上风向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p>
              </w:tc>
              <w:tc>
                <w:tcPr>
                  <w:tcW w:w="1382"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叶片数</w:t>
                  </w:r>
                </w:p>
              </w:tc>
              <w:tc>
                <w:tcPr>
                  <w:tcW w:w="1046"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735" w:type="dxa"/>
                  <w:tcBorders>
                    <w:tl2br w:val="nil"/>
                    <w:tr2bl w:val="nil"/>
                  </w:tcBorders>
                  <w:vAlign w:val="center"/>
                </w:tcPr>
                <w:p>
                  <w:pPr>
                    <w:bidi w:val="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1618" w:type="dxa"/>
                  <w:tcBorders>
                    <w:tl2br w:val="nil"/>
                    <w:tr2bl w:val="nil"/>
                  </w:tcBorders>
                  <w:vAlign w:val="center"/>
                </w:tcPr>
                <w:p>
                  <w:pPr>
                    <w:bidi w:val="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1618" w:type="dxa"/>
                  <w:tcBorders>
                    <w:tl2br w:val="nil"/>
                    <w:tr2bl w:val="nil"/>
                  </w:tcBorders>
                  <w:vAlign w:val="center"/>
                </w:tcPr>
                <w:p>
                  <w:pPr>
                    <w:bidi w:val="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p>
              </w:tc>
              <w:tc>
                <w:tcPr>
                  <w:tcW w:w="1382"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控制方式</w:t>
                  </w:r>
                </w:p>
              </w:tc>
              <w:tc>
                <w:tcPr>
                  <w:tcW w:w="1046"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735"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边浆距</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边浆距</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边浆距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p>
              </w:tc>
              <w:tc>
                <w:tcPr>
                  <w:tcW w:w="1382"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切入风速</w:t>
                  </w:r>
                </w:p>
              </w:tc>
              <w:tc>
                <w:tcPr>
                  <w:tcW w:w="1046"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m/s</w:t>
                  </w:r>
                </w:p>
              </w:tc>
              <w:tc>
                <w:tcPr>
                  <w:tcW w:w="1735"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p>
              </w:tc>
              <w:tc>
                <w:tcPr>
                  <w:tcW w:w="1382"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切出风速</w:t>
                  </w:r>
                </w:p>
              </w:tc>
              <w:tc>
                <w:tcPr>
                  <w:tcW w:w="1046"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m/s</w:t>
                  </w:r>
                </w:p>
              </w:tc>
              <w:tc>
                <w:tcPr>
                  <w:tcW w:w="1735"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p>
              </w:tc>
              <w:tc>
                <w:tcPr>
                  <w:tcW w:w="1382"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额定风速</w:t>
                  </w:r>
                </w:p>
              </w:tc>
              <w:tc>
                <w:tcPr>
                  <w:tcW w:w="1046"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m/s</w:t>
                  </w:r>
                </w:p>
              </w:tc>
              <w:tc>
                <w:tcPr>
                  <w:tcW w:w="1735"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9.5</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9.5</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p>
              </w:tc>
              <w:tc>
                <w:tcPr>
                  <w:tcW w:w="1382"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极限风速</w:t>
                  </w:r>
                </w:p>
              </w:tc>
              <w:tc>
                <w:tcPr>
                  <w:tcW w:w="1046"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m/s</w:t>
                  </w:r>
                </w:p>
              </w:tc>
              <w:tc>
                <w:tcPr>
                  <w:tcW w:w="1735"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59.5</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52.5</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p>
              </w:tc>
              <w:tc>
                <w:tcPr>
                  <w:tcW w:w="1382"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设计寿命</w:t>
                  </w:r>
                </w:p>
              </w:tc>
              <w:tc>
                <w:tcPr>
                  <w:tcW w:w="1046"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735"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20年</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20年</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1382"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发电机</w:t>
                  </w:r>
                </w:p>
              </w:tc>
              <w:tc>
                <w:tcPr>
                  <w:tcW w:w="1046"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735"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永磁同步</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永磁同步</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永磁同步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755" w:type="dxa"/>
                  <w:vMerge w:val="restart"/>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1382"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防雷保护</w:t>
                  </w:r>
                </w:p>
              </w:tc>
              <w:tc>
                <w:tcPr>
                  <w:tcW w:w="1046"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735"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p>
              </w:tc>
              <w:tc>
                <w:tcPr>
                  <w:tcW w:w="1382"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防雷措施</w:t>
                  </w:r>
                </w:p>
              </w:tc>
              <w:tc>
                <w:tcPr>
                  <w:tcW w:w="1046"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735"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电器防雷、叶尖防雷等</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电器防雷、叶尖防雷等</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电器防雷、叶尖防雷等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p>
              </w:tc>
              <w:tc>
                <w:tcPr>
                  <w:tcW w:w="1382"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接地电阻</w:t>
                  </w:r>
                </w:p>
              </w:tc>
              <w:tc>
                <w:tcPr>
                  <w:tcW w:w="1046"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735"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≤4Ω</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≤4Ω</w:t>
                  </w:r>
                </w:p>
              </w:tc>
              <w:tc>
                <w:tcPr>
                  <w:tcW w:w="1618"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1382"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塔架</w:t>
                  </w:r>
                </w:p>
              </w:tc>
              <w:tc>
                <w:tcPr>
                  <w:tcW w:w="1046" w:type="dxa"/>
                  <w:tcBorders>
                    <w:tl2br w:val="nil"/>
                    <w:tr2bl w:val="nil"/>
                  </w:tcBorders>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735" w:type="dxa"/>
                  <w:tcBorders>
                    <w:tl2br w:val="nil"/>
                    <w:tr2bl w:val="nil"/>
                  </w:tcBorders>
                  <w:vAlign w:val="center"/>
                </w:tcPr>
                <w:p>
                  <w:pPr>
                    <w:keepNext w:val="0"/>
                    <w:keepLines w:val="0"/>
                    <w:widowControl/>
                    <w:suppressLineNumbers w:val="0"/>
                    <w:jc w:val="center"/>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锥管式</w:t>
                  </w:r>
                </w:p>
              </w:tc>
              <w:tc>
                <w:tcPr>
                  <w:tcW w:w="1618" w:type="dxa"/>
                  <w:tcBorders>
                    <w:tl2br w:val="nil"/>
                    <w:tr2bl w:val="nil"/>
                  </w:tcBorders>
                  <w:vAlign w:val="center"/>
                </w:tcPr>
                <w:p>
                  <w:pPr>
                    <w:keepNext w:val="0"/>
                    <w:keepLines w:val="0"/>
                    <w:widowControl/>
                    <w:suppressLineNumbers w:val="0"/>
                    <w:jc w:val="center"/>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锥管式</w:t>
                  </w:r>
                </w:p>
              </w:tc>
              <w:tc>
                <w:tcPr>
                  <w:tcW w:w="1618" w:type="dxa"/>
                  <w:tcBorders>
                    <w:tl2br w:val="nil"/>
                    <w:tr2bl w:val="nil"/>
                  </w:tcBorders>
                  <w:vAlign w:val="center"/>
                </w:tcPr>
                <w:p>
                  <w:pPr>
                    <w:keepNext w:val="0"/>
                    <w:keepLines w:val="0"/>
                    <w:widowControl/>
                    <w:suppressLineNumbers w:val="0"/>
                    <w:jc w:val="center"/>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锥管式</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（2）比选机投资估算</w:t>
            </w:r>
          </w:p>
          <w:p>
            <w:pPr>
              <w:pStyle w:val="17"/>
              <w:keepNext w:val="0"/>
              <w:keepLines w:val="0"/>
              <w:pageBreakBefore w:val="0"/>
              <w:widowControl/>
              <w:kinsoku/>
              <w:wordWrap/>
              <w:overflowPunct/>
              <w:topLinePunct w:val="0"/>
              <w:autoSpaceDE/>
              <w:autoSpaceDN/>
              <w:bidi w:val="0"/>
              <w:adjustRightInd/>
              <w:snapToGrid w:val="0"/>
              <w:spacing w:before="0" w:after="0" w:line="360" w:lineRule="auto"/>
              <w:ind w:left="0" w:leftChars="0" w:right="113"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lang w:val="en-US" w:eastAsia="zh-CN"/>
                <w14:textFill>
                  <w14:solidFill>
                    <w14:schemeClr w14:val="tx1"/>
                  </w14:solidFill>
                </w14:textFill>
              </w:rPr>
              <w:t>风机选型的宗旨是</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充分考虑场地地形条件、风资源状况特性、主导风向等因素，尽可能在满足风机安全性的情况下使发电量最大</w:t>
            </w:r>
            <w:r>
              <w:rPr>
                <w:rFonts w:hint="eastAsia" w:cs="Times New Roman"/>
                <w:color w:val="000000" w:themeColor="text1"/>
                <w:kern w:val="2"/>
                <w:sz w:val="24"/>
                <w:szCs w:val="24"/>
                <w:lang w:val="en-US" w:eastAsia="zh-CN" w:bidi="ar-SA"/>
                <w14:textFill>
                  <w14:solidFill>
                    <w14:schemeClr w14:val="tx1"/>
                  </w14:solidFill>
                </w14:textFill>
              </w:rPr>
              <w:t>；因此</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对各比选机型计算理论发电量、单位千瓦投资、单位电度投资</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等</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比选结果</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见表</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-1</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p>
            <w:pPr>
              <w:bidi w:val="0"/>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表5-11  各比选机型方案理论发电量、单位电度投资比较表</w:t>
            </w:r>
          </w:p>
          <w:tbl>
            <w:tblPr>
              <w:tblStyle w:val="19"/>
              <w:tblW w:w="816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1633"/>
              <w:gridCol w:w="1633"/>
              <w:gridCol w:w="1633"/>
              <w:gridCol w:w="16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632" w:type="dxa"/>
                  <w:vMerge w:val="restart"/>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项目</w:t>
                  </w:r>
                </w:p>
              </w:tc>
              <w:tc>
                <w:tcPr>
                  <w:tcW w:w="1633" w:type="dxa"/>
                  <w:vMerge w:val="restart"/>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单位</w:t>
                  </w:r>
                </w:p>
              </w:tc>
              <w:tc>
                <w:tcPr>
                  <w:tcW w:w="4899" w:type="dxa"/>
                  <w:gridSpan w:val="3"/>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比选机型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632" w:type="dxa"/>
                  <w:vMerge w:val="continue"/>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p>
              </w:tc>
              <w:tc>
                <w:tcPr>
                  <w:tcW w:w="1633" w:type="dxa"/>
                  <w:vMerge w:val="continue"/>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WTG1-140/2.5</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WTG2-147/2.5</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WTG3-140/3.0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32"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机组台数</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台</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8</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8</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632"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装机容量</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MW</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20</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20</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632"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轮毂高度</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m</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140</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140</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632"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年上网电量</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MW·h</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37880</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42240</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32540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32"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尾流</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1.88</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1.92</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32"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等效满负荷利用小时</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h</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1894</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2112</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1627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32"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风电机组价格</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元/kW</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3350</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3350</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32"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塔筒重量</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t</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306.242</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290.485</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632"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风电机组投资</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万元</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6700</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6700</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7140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32"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塔筒投资</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万元</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2204.94</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2091.49</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2275.20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32" w:type="dxa"/>
                  <w:tcBorders>
                    <w:tl2br w:val="nil"/>
                    <w:tr2bl w:val="nil"/>
                  </w:tcBorders>
                  <w:vAlign w:val="center"/>
                </w:tcPr>
                <w:p>
                  <w:pPr>
                    <w:bidi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安装费（机组和</w:t>
                  </w:r>
                </w:p>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塔筒）</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万元</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344.00</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333.30</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350.63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632"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工程静态投资</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万元</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9248.94</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9124.79</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9765.83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32"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单位千瓦投资</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元/kW</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4624.47</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4562.39</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4650.39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632"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单位电度投资</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元/kW·h</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2.442</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2.160</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2.858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632"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经济性排序</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w:t>
                  </w:r>
                </w:p>
              </w:tc>
              <w:tc>
                <w:tcPr>
                  <w:tcW w:w="1633" w:type="dxa"/>
                  <w:tcBorders>
                    <w:tl2br w:val="nil"/>
                    <w:tr2bl w:val="nil"/>
                  </w:tcBorders>
                  <w:vAlign w:val="center"/>
                </w:tcPr>
                <w:p>
                  <w:pPr>
                    <w:bidi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w:t>
                  </w:r>
                </w:p>
              </w:tc>
            </w:tr>
          </w:tbl>
          <w:p>
            <w:pPr>
              <w:pStyle w:val="11"/>
              <w:bidi w:val="0"/>
              <w:spacing w:line="360" w:lineRule="auto"/>
              <w:ind w:firstLine="480" w:firstLineChars="200"/>
              <w:rPr>
                <w:rFonts w:hint="default"/>
                <w:color w:val="000000" w:themeColor="text1"/>
                <w:sz w:val="24"/>
                <w:szCs w:val="24"/>
                <w:lang w:val="en-US" w:eastAsia="zh-CN"/>
                <w14:textFill>
                  <w14:solidFill>
                    <w14:schemeClr w14:val="tx1"/>
                  </w14:solidFill>
                </w14:textFill>
              </w:rPr>
            </w:pPr>
            <w:r>
              <w:rPr>
                <w:rFonts w:hint="default"/>
                <w:color w:val="000000" w:themeColor="text1"/>
                <w:sz w:val="24"/>
                <w:szCs w:val="24"/>
                <w:lang w:val="en-US" w:eastAsia="zh-CN"/>
                <w14:textFill>
                  <w14:solidFill>
                    <w14:schemeClr w14:val="tx1"/>
                  </w14:solidFill>
                </w14:textFill>
              </w:rPr>
              <w:t>根据</w:t>
            </w:r>
            <w:r>
              <w:rPr>
                <w:rFonts w:hint="eastAsia"/>
                <w:color w:val="000000" w:themeColor="text1"/>
                <w:sz w:val="24"/>
                <w:szCs w:val="24"/>
                <w:lang w:val="en-US" w:eastAsia="zh-CN"/>
                <w14:textFill>
                  <w14:solidFill>
                    <w14:schemeClr w14:val="tx1"/>
                  </w14:solidFill>
                </w14:textFill>
              </w:rPr>
              <w:t>以上</w:t>
            </w:r>
            <w:r>
              <w:rPr>
                <w:rFonts w:hint="default"/>
                <w:color w:val="000000" w:themeColor="text1"/>
                <w:sz w:val="24"/>
                <w:szCs w:val="24"/>
                <w:lang w:val="en-US" w:eastAsia="zh-CN"/>
                <w14:textFill>
                  <w14:solidFill>
                    <w14:schemeClr w14:val="tx1"/>
                  </w14:solidFill>
                </w14:textFill>
              </w:rPr>
              <w:t>对各比选机型投资估算分析，WTG2-147/2.5机型与其它机型相比</w:t>
            </w:r>
            <w:r>
              <w:rPr>
                <w:rFonts w:hint="eastAsia"/>
                <w:color w:val="000000" w:themeColor="text1"/>
                <w:sz w:val="24"/>
                <w:szCs w:val="24"/>
                <w:lang w:val="en-US" w:eastAsia="zh-CN"/>
                <w14:textFill>
                  <w14:solidFill>
                    <w14:schemeClr w14:val="tx1"/>
                  </w14:solidFill>
                </w14:textFill>
              </w:rPr>
              <w:t>，</w:t>
            </w:r>
            <w:r>
              <w:rPr>
                <w:rFonts w:hint="default"/>
                <w:color w:val="000000" w:themeColor="text1"/>
                <w:sz w:val="24"/>
                <w:szCs w:val="24"/>
                <w:lang w:val="en-US" w:eastAsia="zh-CN"/>
                <w14:textFill>
                  <w14:solidFill>
                    <w14:schemeClr w14:val="tx1"/>
                  </w14:solidFill>
                </w14:textFill>
              </w:rPr>
              <w:t>单位度电成本最低，经济性优势显著</w:t>
            </w:r>
            <w:r>
              <w:rPr>
                <w:rFonts w:hint="eastAsia"/>
                <w:color w:val="000000" w:themeColor="text1"/>
                <w:sz w:val="24"/>
                <w:szCs w:val="24"/>
                <w:lang w:val="en-US" w:eastAsia="zh-CN"/>
                <w14:textFill>
                  <w14:solidFill>
                    <w14:schemeClr w14:val="tx1"/>
                  </w14:solidFill>
                </w14:textFill>
              </w:rPr>
              <w:t>；</w:t>
            </w:r>
            <w:r>
              <w:rPr>
                <w:rFonts w:hint="default"/>
                <w:color w:val="000000" w:themeColor="text1"/>
                <w:sz w:val="24"/>
                <w:szCs w:val="24"/>
                <w:lang w:val="en-US" w:eastAsia="zh-CN"/>
                <w14:textFill>
                  <w14:solidFill>
                    <w14:schemeClr w14:val="tx1"/>
                  </w14:solidFill>
                </w14:textFill>
              </w:rPr>
              <w:t>因此，</w:t>
            </w:r>
            <w:r>
              <w:rPr>
                <w:rFonts w:hint="eastAsia"/>
                <w:color w:val="000000" w:themeColor="text1"/>
                <w:sz w:val="24"/>
                <w:szCs w:val="24"/>
                <w:lang w:val="en-US" w:eastAsia="zh-CN"/>
                <w14:textFill>
                  <w14:solidFill>
                    <w14:schemeClr w14:val="tx1"/>
                  </w14:solidFill>
                </w14:textFill>
              </w:rPr>
              <w:t>本项目选用</w:t>
            </w:r>
            <w:r>
              <w:rPr>
                <w:rFonts w:hint="default"/>
                <w:color w:val="000000" w:themeColor="text1"/>
                <w:sz w:val="24"/>
                <w:szCs w:val="24"/>
                <w:lang w:val="en-US" w:eastAsia="zh-CN"/>
                <w14:textFill>
                  <w14:solidFill>
                    <w14:schemeClr w14:val="tx1"/>
                  </w14:solidFill>
                </w14:textFill>
              </w:rPr>
              <w:t>WTG2-147/2.5机型风电机组</w:t>
            </w:r>
            <w:r>
              <w:rPr>
                <w:rFonts w:hint="eastAsia"/>
                <w:color w:val="000000" w:themeColor="text1"/>
                <w:sz w:val="24"/>
                <w:szCs w:val="24"/>
                <w:lang w:val="en-US" w:eastAsia="zh-CN"/>
                <w14:textFill>
                  <w14:solidFill>
                    <w14:schemeClr w14:val="tx1"/>
                  </w14:solidFill>
                </w14:textFill>
              </w:rPr>
              <w:t>。</w:t>
            </w:r>
          </w:p>
          <w:p>
            <w:pPr>
              <w:pStyle w:val="17"/>
              <w:ind w:left="0" w:leftChars="0" w:firstLine="0" w:firstLineChars="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p>
          <w:p>
            <w:pPr>
              <w:pStyle w:val="17"/>
              <w:ind w:left="0" w:leftChars="0" w:firstLine="0" w:firstLineChars="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p>
          <w:p>
            <w:pPr>
              <w:pStyle w:val="2"/>
              <w:numPr>
                <w:ilvl w:val="0"/>
                <w:numId w:val="0"/>
              </w:numPr>
              <w:rPr>
                <w:rFonts w:hint="default"/>
                <w:color w:val="000000" w:themeColor="text1"/>
                <w:lang w:val="en-US" w:eastAsia="zh-CN"/>
                <w14:textFill>
                  <w14:solidFill>
                    <w14:schemeClr w14:val="tx1"/>
                  </w14:solidFill>
                </w14:textFill>
              </w:rPr>
            </w:pPr>
          </w:p>
        </w:tc>
      </w:tr>
    </w:tbl>
    <w:p>
      <w:pPr>
        <w:pStyle w:val="15"/>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outlineLvl w:val="0"/>
        <w:rPr>
          <w:rFonts w:ascii="黑体" w:hAnsi="黑体" w:eastAsia="黑体"/>
          <w:snapToGrid w:val="0"/>
          <w:color w:val="000000" w:themeColor="text1"/>
          <w:sz w:val="30"/>
          <w:szCs w:val="30"/>
          <w14:textFill>
            <w14:solidFill>
              <w14:schemeClr w14:val="tx1"/>
            </w14:solidFill>
          </w14:textFill>
        </w:rPr>
      </w:pPr>
      <w:r>
        <w:rPr>
          <w:rFonts w:eastAsia="仿宋_GB2312"/>
          <w:b/>
          <w:bCs/>
          <w:color w:val="000000" w:themeColor="text1"/>
          <w14:textFill>
            <w14:solidFill>
              <w14:schemeClr w14:val="tx1"/>
            </w14:solidFill>
          </w14:textFill>
        </w:rPr>
        <w:br w:type="page"/>
      </w:r>
      <w:r>
        <w:rPr>
          <w:rFonts w:hint="eastAsia" w:ascii="黑体" w:hAnsi="黑体" w:eastAsia="黑体"/>
          <w:snapToGrid w:val="0"/>
          <w:color w:val="000000" w:themeColor="text1"/>
          <w:sz w:val="30"/>
          <w:szCs w:val="30"/>
          <w14:textFill>
            <w14:solidFill>
              <w14:schemeClr w14:val="tx1"/>
            </w14:solidFill>
          </w14:textFill>
        </w:rPr>
        <w:t>三、生态环境现状、保护目标及评价标准</w:t>
      </w:r>
    </w:p>
    <w:tbl>
      <w:tblPr>
        <w:tblStyle w:val="18"/>
        <w:tblW w:w="91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82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04" w:type="dxa"/>
            <w:noWrap w:val="0"/>
            <w:vAlign w:val="center"/>
          </w:tcPr>
          <w:p>
            <w:pPr>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生态环境现状</w:t>
            </w:r>
          </w:p>
        </w:tc>
        <w:tc>
          <w:tcPr>
            <w:tcW w:w="8253" w:type="dxa"/>
            <w:noWrap w:val="0"/>
            <w:vAlign w:val="center"/>
          </w:tcPr>
          <w:p>
            <w:pPr>
              <w:numPr>
                <w:ilvl w:val="0"/>
                <w:numId w:val="0"/>
              </w:numPr>
              <w:spacing w:line="360" w:lineRule="auto"/>
              <w:ind w:firstLine="482" w:firstLineChars="200"/>
              <w:rPr>
                <w:rFonts w:hint="default"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1、地理位置</w:t>
            </w:r>
          </w:p>
          <w:p>
            <w:pPr>
              <w:spacing w:line="360" w:lineRule="auto"/>
              <w:ind w:firstLine="42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澄城县位于陕西省渭北高原东北部，南与大荔县毗连，北与黄龙县接壤，东隔大浴河与合阳县相望，西界洛河与蒲城县、白水县为邻，北纬</w:t>
            </w:r>
            <w:r>
              <w:rPr>
                <w:rFonts w:hint="default"/>
                <w:color w:val="000000" w:themeColor="text1"/>
                <w:sz w:val="24"/>
                <w:lang w:val="en-US" w:eastAsia="zh-CN"/>
                <w14:textFill>
                  <w14:solidFill>
                    <w14:schemeClr w14:val="tx1"/>
                  </w14:solidFill>
                </w14:textFill>
              </w:rPr>
              <w:t>34°55′45″─35°27′05″，</w:t>
            </w:r>
            <w:r>
              <w:rPr>
                <w:rFonts w:hint="eastAsia"/>
                <w:color w:val="000000" w:themeColor="text1"/>
                <w:sz w:val="24"/>
                <w:lang w:val="en-US" w:eastAsia="zh-CN"/>
                <w14:textFill>
                  <w14:solidFill>
                    <w14:schemeClr w14:val="tx1"/>
                  </w14:solidFill>
                </w14:textFill>
              </w:rPr>
              <w:t>东经</w:t>
            </w:r>
            <w:r>
              <w:rPr>
                <w:rFonts w:hint="default"/>
                <w:color w:val="000000" w:themeColor="text1"/>
                <w:sz w:val="24"/>
                <w:lang w:val="en-US" w:eastAsia="zh-CN"/>
                <w14:textFill>
                  <w14:solidFill>
                    <w14:schemeClr w14:val="tx1"/>
                  </w14:solidFill>
                </w14:textFill>
              </w:rPr>
              <w:t>109°04′30″─110°05′50″之间，属鄂尔多斯地台向斜的最南端。境内南北狭长，地势北高南低，呈阶梯状分布，全县海拔高度362-1272</w:t>
            </w:r>
            <w:r>
              <w:rPr>
                <w:rFonts w:hint="eastAsia"/>
                <w:color w:val="000000" w:themeColor="text1"/>
                <w:sz w:val="24"/>
                <w:lang w:val="en-US" w:eastAsia="zh-CN"/>
                <w14:textFill>
                  <w14:solidFill>
                    <w14:schemeClr w14:val="tx1"/>
                  </w14:solidFill>
                </w14:textFill>
              </w:rPr>
              <w:t>m</w:t>
            </w:r>
            <w:r>
              <w:rPr>
                <w:rFonts w:hint="default"/>
                <w:color w:val="000000" w:themeColor="text1"/>
                <w:sz w:val="24"/>
                <w:lang w:val="en-US" w:eastAsia="zh-CN"/>
                <w14:textFill>
                  <w14:solidFill>
                    <w14:schemeClr w14:val="tx1"/>
                  </w14:solidFill>
                </w14:textFill>
              </w:rPr>
              <w:t>，平均海拔684.6</w:t>
            </w:r>
            <w:r>
              <w:rPr>
                <w:rFonts w:hint="eastAsia"/>
                <w:color w:val="000000" w:themeColor="text1"/>
                <w:sz w:val="24"/>
                <w:lang w:val="en-US" w:eastAsia="zh-CN"/>
                <w14:textFill>
                  <w14:solidFill>
                    <w14:schemeClr w14:val="tx1"/>
                  </w14:solidFill>
                </w14:textFill>
              </w:rPr>
              <w:t>m</w:t>
            </w:r>
            <w:r>
              <w:rPr>
                <w:rFonts w:hint="default"/>
                <w:color w:val="000000" w:themeColor="text1"/>
                <w:sz w:val="24"/>
                <w:lang w:val="en-US" w:eastAsia="zh-CN"/>
                <w14:textFill>
                  <w14:solidFill>
                    <w14:schemeClr w14:val="tx1"/>
                  </w14:solidFill>
                </w14:textFill>
              </w:rPr>
              <w:t>。北部川梁相间，地貌多样，南部塬面平缓，稍有起伏。全县地形坡度较大，土壤质地疏松，地表植被稀少，梁峁起伏，沟壑纵横。</w:t>
            </w:r>
          </w:p>
          <w:p>
            <w:pPr>
              <w:spacing w:line="360" w:lineRule="auto"/>
              <w:ind w:firstLine="42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本项目位于澄城县王庄镇，位于澄城县中北部。</w:t>
            </w:r>
          </w:p>
          <w:p>
            <w:pPr>
              <w:numPr>
                <w:ilvl w:val="0"/>
                <w:numId w:val="0"/>
              </w:numPr>
              <w:spacing w:line="360" w:lineRule="auto"/>
              <w:ind w:firstLine="482" w:firstLineChars="200"/>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2</w:t>
            </w:r>
            <w:r>
              <w:rPr>
                <w:rFonts w:hint="default" w:eastAsia="宋体"/>
                <w:b/>
                <w:bCs/>
                <w:color w:val="000000" w:themeColor="text1"/>
                <w:sz w:val="24"/>
                <w:lang w:val="en-US" w:eastAsia="zh-CN"/>
                <w14:textFill>
                  <w14:solidFill>
                    <w14:schemeClr w14:val="tx1"/>
                  </w14:solidFill>
                </w14:textFill>
              </w:rPr>
              <w:t>、生态功能区划</w:t>
            </w:r>
          </w:p>
          <w:p>
            <w:pPr>
              <w:numPr>
                <w:ilvl w:val="0"/>
                <w:numId w:val="0"/>
              </w:numPr>
              <w:spacing w:line="360" w:lineRule="auto"/>
              <w:ind w:firstLine="480" w:firstLineChars="200"/>
              <w:rPr>
                <w:rFonts w:hint="eastAsia" w:eastAsia="宋体"/>
                <w:b w:val="0"/>
                <w:bCs w:val="0"/>
                <w:color w:val="000000" w:themeColor="text1"/>
                <w:sz w:val="24"/>
                <w:lang w:val="en-US" w:eastAsia="zh-CN"/>
                <w14:textFill>
                  <w14:solidFill>
                    <w14:schemeClr w14:val="tx1"/>
                  </w14:solidFill>
                </w14:textFill>
              </w:rPr>
            </w:pPr>
            <w:r>
              <w:rPr>
                <w:rFonts w:hint="eastAsia" w:eastAsia="宋体"/>
                <w:b w:val="0"/>
                <w:bCs w:val="0"/>
                <w:color w:val="000000" w:themeColor="text1"/>
                <w:sz w:val="24"/>
                <w:lang w:val="en-US" w:eastAsia="zh-CN"/>
                <w14:textFill>
                  <w14:solidFill>
                    <w14:schemeClr w14:val="tx1"/>
                  </w14:solidFill>
                </w14:textFill>
              </w:rPr>
              <w:t>根据《陕西省生态功能区划》，</w:t>
            </w:r>
            <w:bookmarkStart w:id="18" w:name="OLE_LINK1"/>
            <w:r>
              <w:rPr>
                <w:rFonts w:hint="eastAsia" w:eastAsia="宋体"/>
                <w:b w:val="0"/>
                <w:bCs w:val="0"/>
                <w:color w:val="000000" w:themeColor="text1"/>
                <w:sz w:val="24"/>
                <w:lang w:val="en-US" w:eastAsia="zh-CN"/>
                <w14:textFill>
                  <w14:solidFill>
                    <w14:schemeClr w14:val="tx1"/>
                  </w14:solidFill>
                </w14:textFill>
              </w:rPr>
              <w:t>本项目一级分区上属渭河谷地农业生态区，在二级分区上属</w:t>
            </w:r>
            <w:r>
              <w:rPr>
                <w:rFonts w:hint="eastAsia"/>
                <w:b w:val="0"/>
                <w:bCs w:val="0"/>
                <w:color w:val="000000" w:themeColor="text1"/>
                <w:sz w:val="24"/>
                <w:lang w:val="en-US" w:eastAsia="zh-CN"/>
                <w14:textFill>
                  <w14:solidFill>
                    <w14:schemeClr w14:val="tx1"/>
                  </w14:solidFill>
                </w14:textFill>
              </w:rPr>
              <w:t>渭河两侧黄土台塬农业生态功能区</w:t>
            </w:r>
            <w:r>
              <w:rPr>
                <w:rFonts w:hint="eastAsia" w:eastAsia="宋体"/>
                <w:b w:val="0"/>
                <w:bCs w:val="0"/>
                <w:color w:val="000000" w:themeColor="text1"/>
                <w:sz w:val="24"/>
                <w:lang w:val="en-US" w:eastAsia="zh-CN"/>
                <w14:textFill>
                  <w14:solidFill>
                    <w14:schemeClr w14:val="tx1"/>
                  </w14:solidFill>
                </w14:textFill>
              </w:rPr>
              <w:t>，在三级分区上属</w:t>
            </w:r>
            <w:r>
              <w:rPr>
                <w:rFonts w:hint="eastAsia"/>
                <w:b w:val="0"/>
                <w:bCs w:val="0"/>
                <w:color w:val="000000" w:themeColor="text1"/>
                <w:sz w:val="24"/>
                <w:lang w:val="en-US" w:eastAsia="zh-CN"/>
                <w14:textFill>
                  <w14:solidFill>
                    <w14:schemeClr w14:val="tx1"/>
                  </w14:solidFill>
                </w14:textFill>
              </w:rPr>
              <w:t>渭河两侧黄土台塬农业</w:t>
            </w:r>
            <w:r>
              <w:rPr>
                <w:rFonts w:hint="eastAsia" w:eastAsia="宋体"/>
                <w:b w:val="0"/>
                <w:bCs w:val="0"/>
                <w:color w:val="000000" w:themeColor="text1"/>
                <w:sz w:val="24"/>
                <w:lang w:val="en-US" w:eastAsia="zh-CN"/>
                <w14:textFill>
                  <w14:solidFill>
                    <w14:schemeClr w14:val="tx1"/>
                  </w14:solidFill>
                </w14:textFill>
              </w:rPr>
              <w:t>区。</w:t>
            </w:r>
            <w:bookmarkEnd w:id="18"/>
            <w:r>
              <w:rPr>
                <w:rFonts w:hint="eastAsia" w:eastAsia="宋体"/>
                <w:b w:val="0"/>
                <w:bCs w:val="0"/>
                <w:color w:val="000000" w:themeColor="text1"/>
                <w:sz w:val="24"/>
                <w:lang w:val="en-US" w:eastAsia="zh-CN"/>
                <w14:textFill>
                  <w14:solidFill>
                    <w14:schemeClr w14:val="tx1"/>
                  </w14:solidFill>
                </w14:textFill>
              </w:rPr>
              <w:t>陕西省生态功能区划见附图</w:t>
            </w:r>
            <w:r>
              <w:rPr>
                <w:rFonts w:hint="eastAsia"/>
                <w:b w:val="0"/>
                <w:bCs w:val="0"/>
                <w:color w:val="000000" w:themeColor="text1"/>
                <w:sz w:val="24"/>
                <w:lang w:val="en-US" w:eastAsia="zh-CN"/>
                <w14:textFill>
                  <w14:solidFill>
                    <w14:schemeClr w14:val="tx1"/>
                  </w14:solidFill>
                </w14:textFill>
              </w:rPr>
              <w:t>6</w:t>
            </w:r>
            <w:r>
              <w:rPr>
                <w:rFonts w:hint="eastAsia" w:eastAsia="宋体"/>
                <w:b w:val="0"/>
                <w:bCs w:val="0"/>
                <w:color w:val="000000" w:themeColor="text1"/>
                <w:sz w:val="24"/>
                <w:lang w:val="en-US" w:eastAsia="zh-CN"/>
                <w14:textFill>
                  <w14:solidFill>
                    <w14:schemeClr w14:val="tx1"/>
                  </w14:solidFill>
                </w14:textFill>
              </w:rPr>
              <w:t>。</w:t>
            </w:r>
          </w:p>
          <w:p>
            <w:pPr>
              <w:numPr>
                <w:ilvl w:val="0"/>
                <w:numId w:val="0"/>
              </w:numPr>
              <w:spacing w:line="360" w:lineRule="auto"/>
              <w:ind w:firstLine="482" w:firstLineChars="200"/>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3、地形地貌</w:t>
            </w:r>
          </w:p>
          <w:p>
            <w:pPr>
              <w:spacing w:line="360" w:lineRule="auto"/>
              <w:ind w:firstLine="42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澄城县属渭北黄土台塬一部分，地貌以黄土塬为主体。黄龙山横亘北部边界，洛河从西南流经，支流贯穿塬体，并成为与东西邻县的天然分界。总体上，地形北高南低，海拔1285~470m，全县地貌可分为低中山、山前洪积裙、黄土塬及河谷四种类型。澄城地层划区属汾渭地区渭河小区东部，第四系前基岩出露在低中山区及一些河沟内，构成二级黄土塬的基底。一级原则深埋在巨厚的第四系松散堆积物以下。在岩性上可分为石灰岩及砂泥岩两大类，厚度逾千米。第四系分布广泛，类型复杂，岩性、岩相机厚度差异比较大。</w:t>
            </w:r>
          </w:p>
          <w:p>
            <w:pPr>
              <w:spacing w:line="360" w:lineRule="auto"/>
              <w:ind w:firstLine="42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本项目位于陕西省澄城县西北部王庄镇附近，风电场东西跨度约7.4km，南北跨度约8.5km。场址中心距离澄城县直线距离约11.2km。风电项目场址地形相对平坦，平均海拔在750m左右，地形条件好。</w:t>
            </w:r>
          </w:p>
          <w:p>
            <w:pPr>
              <w:numPr>
                <w:ilvl w:val="0"/>
                <w:numId w:val="0"/>
              </w:numPr>
              <w:spacing w:line="360" w:lineRule="auto"/>
              <w:ind w:firstLine="482" w:firstLineChars="200"/>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4、气候气象</w:t>
            </w:r>
          </w:p>
          <w:p>
            <w:pPr>
              <w:spacing w:line="360" w:lineRule="auto"/>
              <w:ind w:firstLine="42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澄城县属关中平原暖湿带半湿润半干旱气候区，四季分明的大陆性季风气候特点突出。春季温暖干燥，气温回升快而不稳定，时有春寒，降水较少。夏季炎热多雷阵雨、暴雨和阵性大风天气，间有伏旱。秋季凉爽湿润，气温下降快，多阴雨。十月以后，降水速减，天气晴好。冬季寒冷干燥，气温低，雨雪稀少。全县年平均气温12.1℃</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自北向南逐渐降低。沿山的刘家洼年平均气温11.3℃。夏季年极端最高气温为40.3℃，冬季年极端最低气温为-17.6℃。县城年降水量在316.2～980.0mm，无霜期204天，年平均降水量648.1mm，主要集中在七、八、九三个月，占年降水量的57.0%，年平均日照2501.7h。最大冻土深度52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cm</w:t>
            </w:r>
            <w:r>
              <w:rPr>
                <w:rFonts w:hint="default" w:ascii="Times New Roman" w:hAnsi="Times New Roman" w:eastAsia="宋体" w:cs="Times New Roman"/>
                <w:color w:val="000000" w:themeColor="text1"/>
                <w:sz w:val="24"/>
                <w:szCs w:val="24"/>
                <w14:textFill>
                  <w14:solidFill>
                    <w14:schemeClr w14:val="tx1"/>
                  </w14:solidFill>
                </w14:textFill>
              </w:rPr>
              <w:t>，常年主导风向为东北风，最大风速18m/s。</w:t>
            </w:r>
          </w:p>
          <w:p>
            <w:pPr>
              <w:numPr>
                <w:ilvl w:val="0"/>
                <w:numId w:val="0"/>
              </w:numPr>
              <w:spacing w:line="360" w:lineRule="auto"/>
              <w:ind w:firstLine="482" w:firstLineChars="200"/>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5、地表水</w:t>
            </w:r>
          </w:p>
          <w:p>
            <w:pPr>
              <w:keepNext w:val="0"/>
              <w:keepLines w:val="0"/>
              <w:widowControl/>
              <w:suppressLineNumbers w:val="0"/>
              <w:spacing w:line="360" w:lineRule="auto"/>
              <w:ind w:firstLine="480" w:firstLineChars="20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澄城区域内河流属黄河流域渭河水系洛河流域，境内五条河流，自北向南均汇入洛河。总流域面积</w:t>
            </w:r>
            <w:r>
              <w:rPr>
                <w:rFonts w:hint="default" w:ascii="Times New Roman" w:hAnsi="Times New Roman" w:eastAsia="TimesNewRomanPSMT" w:cs="Times New Roman"/>
                <w:color w:val="000000" w:themeColor="text1"/>
                <w:kern w:val="0"/>
                <w:sz w:val="24"/>
                <w:szCs w:val="24"/>
                <w:lang w:val="en-US" w:eastAsia="zh-CN" w:bidi="ar"/>
                <w14:textFill>
                  <w14:solidFill>
                    <w14:schemeClr w14:val="tx1"/>
                  </w14:solidFill>
                </w14:textFill>
              </w:rPr>
              <w:t>1010.16k</w:t>
            </w:r>
            <w:r>
              <w:rPr>
                <w:rFonts w:hint="eastAsia" w:ascii="Times New Roman" w:hAnsi="Times New Roman" w:eastAsia="TimesNewRomanPSMT" w:cs="Times New Roman"/>
                <w:color w:val="000000" w:themeColor="text1"/>
                <w:kern w:val="0"/>
                <w:sz w:val="24"/>
                <w:szCs w:val="24"/>
                <w:lang w:val="en-US" w:eastAsia="zh-CN" w:bidi="ar"/>
                <w14:textFill>
                  <w14:solidFill>
                    <w14:schemeClr w14:val="tx1"/>
                  </w14:solidFill>
                </w14:textFill>
              </w:rPr>
              <w:t>m</w:t>
            </w:r>
            <w:r>
              <w:rPr>
                <w:rFonts w:hint="eastAsia" w:ascii="Times New Roman" w:hAnsi="Times New Roman" w:eastAsia="TimesNewRomanPSMT" w:cs="Times New Roman"/>
                <w:color w:val="000000" w:themeColor="text1"/>
                <w:kern w:val="0"/>
                <w:sz w:val="24"/>
                <w:szCs w:val="24"/>
                <w:vertAlign w:val="superscript"/>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，约占全县总土地面积的</w:t>
            </w:r>
            <w:r>
              <w:rPr>
                <w:rFonts w:hint="default" w:ascii="Times New Roman" w:hAnsi="Times New Roman" w:eastAsia="TimesNewRomanPSMT" w:cs="Times New Roman"/>
                <w:color w:val="000000" w:themeColor="text1"/>
                <w:kern w:val="0"/>
                <w:sz w:val="24"/>
                <w:szCs w:val="24"/>
                <w:lang w:val="en-US" w:eastAsia="zh-CN" w:bidi="ar"/>
                <w14:textFill>
                  <w14:solidFill>
                    <w14:schemeClr w14:val="tx1"/>
                  </w14:solidFill>
                </w14:textFill>
              </w:rPr>
              <w:t>90.84%</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，是本县主要的径流产区和集中场所。县西河、马村河、孔走河均发源于境内，长宁河发源于黄龙山南侧</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均在县境内注入洛河。大峪河发源于北部黄龙山地，界于澄、合二县，在蒲城永丰曲里村注入洛河。干流长</w:t>
            </w:r>
            <w:r>
              <w:rPr>
                <w:rFonts w:hint="default" w:ascii="Times New Roman" w:hAnsi="Times New Roman" w:eastAsia="TimesNewRomanPSMT" w:cs="Times New Roman"/>
                <w:color w:val="000000" w:themeColor="text1"/>
                <w:kern w:val="0"/>
                <w:sz w:val="24"/>
                <w:szCs w:val="24"/>
                <w:lang w:val="en-US" w:eastAsia="zh-CN" w:bidi="ar"/>
                <w14:textFill>
                  <w14:solidFill>
                    <w14:schemeClr w14:val="tx1"/>
                  </w14:solidFill>
                </w14:textFill>
              </w:rPr>
              <w:t>77km</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，流域面积</w:t>
            </w:r>
            <w:r>
              <w:rPr>
                <w:rFonts w:hint="default" w:ascii="Times New Roman" w:hAnsi="Times New Roman" w:eastAsia="TimesNewRomanPSMT" w:cs="Times New Roman"/>
                <w:color w:val="000000" w:themeColor="text1"/>
                <w:kern w:val="0"/>
                <w:sz w:val="24"/>
                <w:szCs w:val="24"/>
                <w:lang w:val="en-US" w:eastAsia="zh-CN" w:bidi="ar"/>
                <w14:textFill>
                  <w14:solidFill>
                    <w14:schemeClr w14:val="tx1"/>
                  </w14:solidFill>
                </w14:textFill>
              </w:rPr>
              <w:t>512.5k</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m</w:t>
            </w:r>
            <w:r>
              <w:rPr>
                <w:rFonts w:hint="eastAsia" w:ascii="Times New Roman" w:hAnsi="Times New Roman" w:eastAsia="宋体" w:cs="Times New Roman"/>
                <w:color w:val="000000" w:themeColor="text1"/>
                <w:kern w:val="0"/>
                <w:sz w:val="24"/>
                <w:szCs w:val="24"/>
                <w:vertAlign w:val="superscript"/>
                <w:lang w:val="en-US" w:eastAsia="zh-CN" w:bidi="ar"/>
                <w14:textFill>
                  <w14:solidFill>
                    <w14:schemeClr w14:val="tx1"/>
                  </w14:solidFill>
                </w14:textFill>
              </w:rPr>
              <w:t>2</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县境内长度</w:t>
            </w:r>
            <w:r>
              <w:rPr>
                <w:rFonts w:hint="default" w:ascii="Times New Roman" w:hAnsi="Times New Roman" w:eastAsia="TimesNewRomanPSMT" w:cs="Times New Roman"/>
                <w:color w:val="000000" w:themeColor="text1"/>
                <w:kern w:val="0"/>
                <w:sz w:val="24"/>
                <w:szCs w:val="24"/>
                <w:lang w:val="en-US" w:eastAsia="zh-CN" w:bidi="ar"/>
                <w14:textFill>
                  <w14:solidFill>
                    <w14:schemeClr w14:val="tx1"/>
                  </w14:solidFill>
                </w14:textFill>
              </w:rPr>
              <w:t>59.65km</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，流域面积</w:t>
            </w:r>
            <w:r>
              <w:rPr>
                <w:rFonts w:hint="default" w:ascii="Times New Roman" w:hAnsi="Times New Roman" w:eastAsia="TimesNewRomanPSMT" w:cs="Times New Roman"/>
                <w:color w:val="000000" w:themeColor="text1"/>
                <w:kern w:val="0"/>
                <w:sz w:val="24"/>
                <w:szCs w:val="24"/>
                <w:lang w:val="en-US" w:eastAsia="zh-CN" w:bidi="ar"/>
                <w14:textFill>
                  <w14:solidFill>
                    <w14:schemeClr w14:val="tx1"/>
                  </w14:solidFill>
                </w14:textFill>
              </w:rPr>
              <w:t>397.4477k</w:t>
            </w:r>
            <w:r>
              <w:rPr>
                <w:rFonts w:hint="eastAsia" w:ascii="Times New Roman" w:hAnsi="Times New Roman" w:eastAsia="TimesNewRomanPSMT" w:cs="Times New Roman"/>
                <w:color w:val="000000" w:themeColor="text1"/>
                <w:kern w:val="0"/>
                <w:sz w:val="24"/>
                <w:szCs w:val="24"/>
                <w:lang w:val="en-US" w:eastAsia="zh-CN" w:bidi="ar"/>
                <w14:textFill>
                  <w14:solidFill>
                    <w14:schemeClr w14:val="tx1"/>
                  </w14:solidFill>
                </w14:textFill>
              </w:rPr>
              <w:t>m</w:t>
            </w:r>
            <w:r>
              <w:rPr>
                <w:rFonts w:hint="eastAsia" w:ascii="Times New Roman" w:hAnsi="Times New Roman" w:eastAsia="TimesNewRomanPSMT" w:cs="Times New Roman"/>
                <w:color w:val="000000" w:themeColor="text1"/>
                <w:kern w:val="0"/>
                <w:sz w:val="24"/>
                <w:szCs w:val="24"/>
                <w:vertAlign w:val="superscript"/>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，河流平均宽度</w:t>
            </w:r>
            <w:r>
              <w:rPr>
                <w:rFonts w:hint="default" w:ascii="Times New Roman" w:hAnsi="Times New Roman" w:eastAsia="TimesNewRomanPSMT" w:cs="Times New Roman"/>
                <w:color w:val="000000" w:themeColor="text1"/>
                <w:kern w:val="0"/>
                <w:sz w:val="24"/>
                <w:szCs w:val="24"/>
                <w:lang w:val="en-US" w:eastAsia="zh-CN" w:bidi="ar"/>
                <w14:textFill>
                  <w14:solidFill>
                    <w14:schemeClr w14:val="tx1"/>
                  </w14:solidFill>
                </w14:textFill>
              </w:rPr>
              <w:t>6.66km，</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河床比降</w:t>
            </w:r>
            <w:r>
              <w:rPr>
                <w:rFonts w:hint="default" w:ascii="Times New Roman" w:hAnsi="Times New Roman" w:eastAsia="TimesNewRomanPSMT" w:cs="Times New Roman"/>
                <w:color w:val="000000" w:themeColor="text1"/>
                <w:kern w:val="0"/>
                <w:sz w:val="24"/>
                <w:szCs w:val="24"/>
                <w:lang w:val="en-US" w:eastAsia="zh-CN" w:bidi="ar"/>
                <w14:textFill>
                  <w14:solidFill>
                    <w14:schemeClr w14:val="tx1"/>
                  </w14:solidFill>
                </w14:textFill>
              </w:rPr>
              <w:t>5.28%</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，年平均流量</w:t>
            </w:r>
            <w:r>
              <w:rPr>
                <w:rFonts w:hint="default" w:ascii="Times New Roman" w:hAnsi="Times New Roman" w:eastAsia="TimesNewRomanPSMT" w:cs="Times New Roman"/>
                <w:color w:val="000000" w:themeColor="text1"/>
                <w:kern w:val="0"/>
                <w:sz w:val="24"/>
                <w:szCs w:val="24"/>
                <w:lang w:val="en-US" w:eastAsia="zh-CN" w:bidi="ar"/>
                <w14:textFill>
                  <w14:solidFill>
                    <w14:schemeClr w14:val="tx1"/>
                  </w14:solidFill>
                </w14:textFill>
              </w:rPr>
              <w:t>0.2806</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亿</w:t>
            </w:r>
            <w:r>
              <w:rPr>
                <w:rFonts w:hint="eastAsia" w:ascii="Times New Roman" w:hAnsi="Times New Roman" w:eastAsia="TimesNewRomanPSMT" w:cs="Times New Roman"/>
                <w:color w:val="000000" w:themeColor="text1"/>
                <w:kern w:val="0"/>
                <w:sz w:val="24"/>
                <w:szCs w:val="24"/>
                <w:lang w:val="en-US" w:eastAsia="zh-CN" w:bidi="ar"/>
                <w14:textFill>
                  <w14:solidFill>
                    <w14:schemeClr w14:val="tx1"/>
                  </w14:solidFill>
                </w14:textFill>
              </w:rPr>
              <w:t>m</w:t>
            </w:r>
            <w:r>
              <w:rPr>
                <w:rFonts w:hint="eastAsia" w:ascii="Times New Roman" w:hAnsi="Times New Roman" w:eastAsia="TimesNewRomanPSMT" w:cs="Times New Roman"/>
                <w:color w:val="000000" w:themeColor="text1"/>
                <w:kern w:val="0"/>
                <w:sz w:val="24"/>
                <w:szCs w:val="24"/>
                <w:vertAlign w:val="superscript"/>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，水量居各河之首</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w:t>
            </w:r>
          </w:p>
          <w:p>
            <w:pPr>
              <w:spacing w:line="360" w:lineRule="auto"/>
              <w:ind w:firstLine="42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本项目位于澄城县大庄镇，拟建风电场范围内无地表水。</w:t>
            </w:r>
          </w:p>
          <w:p>
            <w:pPr>
              <w:numPr>
                <w:ilvl w:val="0"/>
                <w:numId w:val="0"/>
              </w:numPr>
              <w:spacing w:line="360" w:lineRule="auto"/>
              <w:ind w:firstLine="482" w:firstLineChars="200"/>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6、动、植被类型</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澄城县境内动植物种类繁多，有各类农作物87种类，树种43科92种，有家禽家畜14种，腐生动物25种，鸟类30种，水生动物23种。县域内大地植被分为农作物植被和林草植被，呈现农作物植被为主，林草次之的状况。农作物植被四季变化大，年际变化小，多年平均在90万亩左右，以小麦、玉米、油料、蔬菜、薯类为主。林草植被较稳定，年内变化小，年际变化大。全县林草面积较小，其中有林地2711.17</w:t>
            </w:r>
            <w:r>
              <w:rPr>
                <w:rFonts w:hint="eastAsia" w:cs="Times New Roman"/>
                <w:color w:val="000000" w:themeColor="text1"/>
                <w:kern w:val="0"/>
                <w:sz w:val="24"/>
                <w:szCs w:val="24"/>
                <w:lang w:val="en-US" w:eastAsia="zh-CN" w:bidi="ar"/>
                <w14:textFill>
                  <w14:solidFill>
                    <w14:schemeClr w14:val="tx1"/>
                  </w14:solidFill>
                </w14:textFill>
              </w:rPr>
              <w:t>hm</w:t>
            </w:r>
            <w:r>
              <w:rPr>
                <w:rFonts w:hint="eastAsia" w:cs="Times New Roman"/>
                <w:color w:val="000000" w:themeColor="text1"/>
                <w:kern w:val="0"/>
                <w:sz w:val="24"/>
                <w:szCs w:val="24"/>
                <w:vertAlign w:val="superscript"/>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，牧草地14132.41</w:t>
            </w:r>
            <w:r>
              <w:rPr>
                <w:rFonts w:hint="eastAsia" w:cs="Times New Roman"/>
                <w:color w:val="000000" w:themeColor="text1"/>
                <w:kern w:val="0"/>
                <w:sz w:val="24"/>
                <w:szCs w:val="24"/>
                <w:lang w:val="en-US" w:eastAsia="zh-CN" w:bidi="ar"/>
                <w14:textFill>
                  <w14:solidFill>
                    <w14:schemeClr w14:val="tx1"/>
                  </w14:solidFill>
                </w14:textFill>
              </w:rPr>
              <w:t>hm</w:t>
            </w:r>
            <w:r>
              <w:rPr>
                <w:rFonts w:hint="eastAsia" w:cs="Times New Roman"/>
                <w:color w:val="000000" w:themeColor="text1"/>
                <w:kern w:val="0"/>
                <w:sz w:val="24"/>
                <w:szCs w:val="24"/>
                <w:vertAlign w:val="superscript"/>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，主要分布在海拔700m以上的沟堡区。有林地中，用材林以刺槐、侧柏为主，经济林以苹果、柿子、花椒为主，灌本以橡树、荆条、酸枣等为主。有各类动物60多种，无珍贵的野生动物。</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color w:val="000000" w:themeColor="text1"/>
                <w:sz w:val="24"/>
                <w:lang w:val="en-US" w:eastAsia="zh-CN"/>
                <w14:textFill>
                  <w14:solidFill>
                    <w14:schemeClr w14:val="tx1"/>
                  </w14:solidFill>
                </w14:textFill>
              </w:rPr>
              <w:t>本项目位于澄城县大庄镇，</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根据现场调查</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，项目拟建地属于农田生态系统，区内植被类型和动物类型较为单调。</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（1）植物类型与分布</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由于所在区域属旱作农耕区，人工植被是主要栽培作物。粮食作物主要有小麦、玉米、高粱、糜、谷、荞麦、大麦、各种豆类等；经济果林主要有梨、苹果、花椒、枣、桃、杏、葡萄、沙果等；经济作物主要有烟叶、油菜、花生、芝麻、西瓜、甜瓜、向日葵、蓖麻等；蔬菜品种主要有白菜、萝卜、洋芋、葱、蒜、芹菜、韭菜、茄子、辣椒等；种植饲草主要有紫花苜蓿、草木犀、毛苕子、沙打旺、红豆草等。</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（2）动物类型与分布</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项目区</w:t>
            </w:r>
            <w:r>
              <w:rPr>
                <w:rFonts w:hint="eastAsia"/>
                <w:color w:val="000000" w:themeColor="text1"/>
                <w:sz w:val="24"/>
                <w:lang w:val="en-US" w:eastAsia="zh-CN"/>
                <w14:textFill>
                  <w14:solidFill>
                    <w14:schemeClr w14:val="tx1"/>
                  </w14:solidFill>
                </w14:textFill>
              </w:rPr>
              <w:t>动物类型</w:t>
            </w:r>
            <w:r>
              <w:rPr>
                <w:rFonts w:hint="eastAsia" w:ascii="Times New Roman" w:hAnsi="Times New Roman"/>
                <w:color w:val="000000" w:themeColor="text1"/>
                <w:sz w:val="24"/>
                <w14:textFill>
                  <w14:solidFill>
                    <w14:schemeClr w14:val="tx1"/>
                  </w14:solidFill>
                </w14:textFill>
              </w:rPr>
              <w:t>以</w:t>
            </w:r>
            <w:r>
              <w:rPr>
                <w:rFonts w:ascii="Times New Roman" w:hAnsi="Times New Roman"/>
                <w:color w:val="000000" w:themeColor="text1"/>
                <w:sz w:val="24"/>
                <w14:textFill>
                  <w14:solidFill>
                    <w14:schemeClr w14:val="tx1"/>
                  </w14:solidFill>
                </w14:textFill>
              </w:rPr>
              <w:t>家室、农田、沟壑为栖息地的啮齿类动物占优势，有小家鼠、黑线姬鼠、黑线仓鼠、大仓鼠、鼹鼠等；以食草、农作物、果树为主的有獾、狍、野猪、野兔、蝙蝠等。鸟类主要分布在农田、村落、山坡、沟谷，主要有喜鹊、乌鸦、麻雀、石鸡、啄木鸟、杜鹃、燕子、大雁、老鹰等。</w:t>
            </w:r>
          </w:p>
          <w:p>
            <w:pPr>
              <w:numPr>
                <w:ilvl w:val="0"/>
                <w:numId w:val="0"/>
              </w:numPr>
              <w:spacing w:line="360" w:lineRule="auto"/>
              <w:ind w:firstLine="482" w:firstLineChars="200"/>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7</w:t>
            </w:r>
            <w:r>
              <w:rPr>
                <w:rFonts w:hint="eastAsia" w:eastAsia="宋体"/>
                <w:b/>
                <w:bCs/>
                <w:color w:val="000000" w:themeColor="text1"/>
                <w:sz w:val="24"/>
                <w:lang w:val="en-US"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环境质量现状</w:t>
            </w:r>
          </w:p>
          <w:p>
            <w:pPr>
              <w:spacing w:line="360" w:lineRule="auto"/>
              <w:ind w:firstLine="480" w:firstLineChars="200"/>
              <w:jc w:val="left"/>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①环境空气质量现状</w:t>
            </w:r>
          </w:p>
          <w:p>
            <w:pPr>
              <w:spacing w:line="360" w:lineRule="auto"/>
              <w:ind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根据陕西省环境保护厅办公室发布《环保快报》（202</w:t>
            </w:r>
            <w:r>
              <w:rPr>
                <w:rFonts w:hint="eastAsia" w:ascii="Times New Roman" w:hAnsi="Times New Roman"/>
                <w:color w:val="000000" w:themeColor="text1"/>
                <w:sz w:val="24"/>
                <w:szCs w:val="24"/>
                <w:lang w:val="en-US" w:eastAsia="zh-CN"/>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-4）中20</w:t>
            </w:r>
            <w:r>
              <w:rPr>
                <w:rFonts w:hint="eastAsia" w:ascii="Times New Roman" w:hAnsi="Times New Roman"/>
                <w:color w:val="000000" w:themeColor="text1"/>
                <w:sz w:val="24"/>
                <w:szCs w:val="24"/>
                <w:lang w:val="en-US" w:eastAsia="zh-CN"/>
                <w14:textFill>
                  <w14:solidFill>
                    <w14:schemeClr w14:val="tx1"/>
                  </w14:solidFill>
                </w14:textFill>
              </w:rPr>
              <w:t>20</w:t>
            </w:r>
            <w:r>
              <w:rPr>
                <w:rFonts w:ascii="Times New Roman" w:hAnsi="Times New Roman"/>
                <w:color w:val="000000" w:themeColor="text1"/>
                <w:sz w:val="24"/>
                <w:szCs w:val="24"/>
                <w14:textFill>
                  <w14:solidFill>
                    <w14:schemeClr w14:val="tx1"/>
                  </w14:solidFill>
                </w14:textFill>
              </w:rPr>
              <w:t>年1~12月全省环境空气质量状况中</w:t>
            </w:r>
            <w:r>
              <w:rPr>
                <w:rFonts w:hint="eastAsia" w:ascii="Times New Roman" w:hAnsi="Times New Roman"/>
                <w:color w:val="000000" w:themeColor="text1"/>
                <w:sz w:val="24"/>
                <w:szCs w:val="24"/>
                <w:lang w:val="en-US" w:eastAsia="zh-CN"/>
                <w14:textFill>
                  <w14:solidFill>
                    <w14:schemeClr w14:val="tx1"/>
                  </w14:solidFill>
                </w14:textFill>
              </w:rPr>
              <w:t>渭南市澄城县</w:t>
            </w:r>
            <w:r>
              <w:rPr>
                <w:rFonts w:ascii="Times New Roman" w:hAnsi="Times New Roman"/>
                <w:color w:val="000000" w:themeColor="text1"/>
                <w:sz w:val="24"/>
                <w:szCs w:val="24"/>
                <w14:textFill>
                  <w14:solidFill>
                    <w14:schemeClr w14:val="tx1"/>
                  </w14:solidFill>
                </w14:textFill>
              </w:rPr>
              <w:t>空气常规六项污染物监测统计结果，对</w:t>
            </w:r>
            <w:r>
              <w:rPr>
                <w:rFonts w:hint="eastAsia" w:ascii="Times New Roman" w:hAnsi="Times New Roman"/>
                <w:color w:val="000000" w:themeColor="text1"/>
                <w:sz w:val="24"/>
                <w:szCs w:val="24"/>
                <w:lang w:val="en-US" w:eastAsia="zh-CN"/>
                <w14:textFill>
                  <w14:solidFill>
                    <w14:schemeClr w14:val="tx1"/>
                  </w14:solidFill>
                </w14:textFill>
              </w:rPr>
              <w:t>澄城县</w:t>
            </w:r>
            <w:r>
              <w:rPr>
                <w:rFonts w:ascii="Times New Roman" w:hAnsi="Times New Roman"/>
                <w:color w:val="000000" w:themeColor="text1"/>
                <w:sz w:val="24"/>
                <w:szCs w:val="24"/>
                <w14:textFill>
                  <w14:solidFill>
                    <w14:schemeClr w14:val="tx1"/>
                  </w14:solidFill>
                </w14:textFill>
              </w:rPr>
              <w:t>环境质量状况进行</w:t>
            </w:r>
            <w:r>
              <w:rPr>
                <w:rFonts w:hint="eastAsia" w:ascii="Times New Roman" w:hAnsi="Times New Roman"/>
                <w:color w:val="000000" w:themeColor="text1"/>
                <w:sz w:val="24"/>
                <w:szCs w:val="24"/>
                <w:lang w:val="en-US" w:eastAsia="zh-CN"/>
                <w14:textFill>
                  <w14:solidFill>
                    <w14:schemeClr w14:val="tx1"/>
                  </w14:solidFill>
                </w14:textFill>
              </w:rPr>
              <w:t>分析评价</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评价</w:t>
            </w:r>
            <w:r>
              <w:rPr>
                <w:rFonts w:ascii="Times New Roman" w:hAnsi="Times New Roman"/>
                <w:color w:val="000000" w:themeColor="text1"/>
                <w:sz w:val="24"/>
                <w:szCs w:val="24"/>
                <w14:textFill>
                  <w14:solidFill>
                    <w14:schemeClr w14:val="tx1"/>
                  </w14:solidFill>
                </w14:textFill>
              </w:rPr>
              <w:t>结果见表3-1。</w:t>
            </w:r>
          </w:p>
          <w:p>
            <w:pPr>
              <w:spacing w:line="240" w:lineRule="auto"/>
              <w:jc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表3-1  </w:t>
            </w:r>
            <w:r>
              <w:rPr>
                <w:rFonts w:hint="eastAsia" w:ascii="Times New Roman" w:hAnsi="Times New Roman"/>
                <w:color w:val="000000" w:themeColor="text1"/>
                <w:sz w:val="24"/>
                <w:szCs w:val="24"/>
                <w:lang w:val="en-US" w:eastAsia="zh-CN"/>
                <w14:textFill>
                  <w14:solidFill>
                    <w14:schemeClr w14:val="tx1"/>
                  </w14:solidFill>
                </w14:textFill>
              </w:rPr>
              <w:t>澄城县环境</w:t>
            </w:r>
            <w:r>
              <w:rPr>
                <w:rFonts w:ascii="Times New Roman" w:hAnsi="Times New Roman"/>
                <w:color w:val="000000" w:themeColor="text1"/>
                <w:sz w:val="24"/>
                <w:szCs w:val="24"/>
                <w14:textFill>
                  <w14:solidFill>
                    <w14:schemeClr w14:val="tx1"/>
                  </w14:solidFill>
                </w14:textFill>
              </w:rPr>
              <w:t>空气质量</w:t>
            </w:r>
            <w:r>
              <w:rPr>
                <w:rFonts w:hint="eastAsia" w:ascii="Times New Roman" w:hAnsi="Times New Roman"/>
                <w:color w:val="000000" w:themeColor="text1"/>
                <w:sz w:val="24"/>
                <w:szCs w:val="24"/>
                <w:lang w:val="en-US" w:eastAsia="zh-CN"/>
                <w14:textFill>
                  <w14:solidFill>
                    <w14:schemeClr w14:val="tx1"/>
                  </w14:solidFill>
                </w14:textFill>
              </w:rPr>
              <w:t>现状评价表</w:t>
            </w:r>
          </w:p>
          <w:tbl>
            <w:tblPr>
              <w:tblStyle w:val="18"/>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0"/>
              <w:gridCol w:w="2618"/>
              <w:gridCol w:w="1144"/>
              <w:gridCol w:w="1144"/>
              <w:gridCol w:w="1069"/>
              <w:gridCol w:w="10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16" w:type="pct"/>
                  <w:tcBorders>
                    <w:tl2br w:val="nil"/>
                    <w:tr2bl w:val="nil"/>
                  </w:tcBorders>
                  <w:shd w:val="clear" w:color="auto" w:fill="FFFFFF" w:themeFill="background1"/>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污染物</w:t>
                  </w:r>
                </w:p>
              </w:tc>
              <w:tc>
                <w:tcPr>
                  <w:tcW w:w="1651" w:type="pct"/>
                  <w:tcBorders>
                    <w:tl2br w:val="nil"/>
                    <w:tr2bl w:val="nil"/>
                  </w:tcBorders>
                  <w:shd w:val="clear" w:color="auto" w:fill="FFFFFF" w:themeFill="background1"/>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年评价指标</w:t>
                  </w:r>
                </w:p>
              </w:tc>
              <w:tc>
                <w:tcPr>
                  <w:tcW w:w="683" w:type="pct"/>
                  <w:tcBorders>
                    <w:tl2br w:val="nil"/>
                    <w:tr2bl w:val="nil"/>
                  </w:tcBorders>
                  <w:shd w:val="clear" w:color="auto" w:fill="FFFFFF" w:themeFill="background1"/>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现状浓度</w:t>
                  </w:r>
                </w:p>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（μg/m</w:t>
                  </w:r>
                  <w:r>
                    <w:rPr>
                      <w:rFonts w:ascii="Times New Roman" w:hAnsi="Times New Roman"/>
                      <w:color w:val="000000" w:themeColor="text1"/>
                      <w:szCs w:val="21"/>
                      <w:vertAlign w:val="superscript"/>
                      <w14:textFill>
                        <w14:solidFill>
                          <w14:schemeClr w14:val="tx1"/>
                        </w14:solidFill>
                      </w14:textFill>
                    </w:rPr>
                    <w:t>3</w:t>
                  </w:r>
                  <w:r>
                    <w:rPr>
                      <w:rFonts w:ascii="Times New Roman" w:hAnsi="Times New Roman"/>
                      <w:color w:val="000000" w:themeColor="text1"/>
                      <w:szCs w:val="21"/>
                      <w14:textFill>
                        <w14:solidFill>
                          <w14:schemeClr w14:val="tx1"/>
                        </w14:solidFill>
                      </w14:textFill>
                    </w:rPr>
                    <w:t>）</w:t>
                  </w:r>
                </w:p>
              </w:tc>
              <w:tc>
                <w:tcPr>
                  <w:tcW w:w="683" w:type="pct"/>
                  <w:tcBorders>
                    <w:tl2br w:val="nil"/>
                    <w:tr2bl w:val="nil"/>
                  </w:tcBorders>
                  <w:shd w:val="clear" w:color="auto" w:fill="FFFFFF" w:themeFill="background1"/>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标准值</w:t>
                  </w:r>
                </w:p>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（μg/m</w:t>
                  </w:r>
                  <w:r>
                    <w:rPr>
                      <w:rFonts w:ascii="Times New Roman" w:hAnsi="Times New Roman"/>
                      <w:color w:val="000000" w:themeColor="text1"/>
                      <w:szCs w:val="21"/>
                      <w:vertAlign w:val="superscript"/>
                      <w14:textFill>
                        <w14:solidFill>
                          <w14:schemeClr w14:val="tx1"/>
                        </w14:solidFill>
                      </w14:textFill>
                    </w:rPr>
                    <w:t>3</w:t>
                  </w:r>
                  <w:r>
                    <w:rPr>
                      <w:rFonts w:ascii="Times New Roman" w:hAnsi="Times New Roman"/>
                      <w:color w:val="000000" w:themeColor="text1"/>
                      <w:szCs w:val="21"/>
                      <w14:textFill>
                        <w14:solidFill>
                          <w14:schemeClr w14:val="tx1"/>
                        </w14:solidFill>
                      </w14:textFill>
                    </w:rPr>
                    <w:t>）</w:t>
                  </w:r>
                </w:p>
              </w:tc>
              <w:tc>
                <w:tcPr>
                  <w:tcW w:w="683" w:type="pct"/>
                  <w:tcBorders>
                    <w:tl2br w:val="nil"/>
                    <w:tr2bl w:val="nil"/>
                  </w:tcBorders>
                  <w:shd w:val="clear" w:color="auto" w:fill="FFFFFF" w:themeFill="background1"/>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占标率</w:t>
                  </w:r>
                </w:p>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c>
                <w:tcPr>
                  <w:tcW w:w="683" w:type="pct"/>
                  <w:tcBorders>
                    <w:tl2br w:val="nil"/>
                    <w:tr2bl w:val="nil"/>
                  </w:tcBorders>
                  <w:shd w:val="clear" w:color="auto" w:fill="FFFFFF" w:themeFill="background1"/>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达标</w:t>
                  </w:r>
                </w:p>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16"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SO</w:t>
                  </w:r>
                  <w:r>
                    <w:rPr>
                      <w:rFonts w:ascii="Times New Roman" w:hAnsi="Times New Roman"/>
                      <w:color w:val="000000" w:themeColor="text1"/>
                      <w:szCs w:val="21"/>
                      <w:vertAlign w:val="subscript"/>
                      <w14:textFill>
                        <w14:solidFill>
                          <w14:schemeClr w14:val="tx1"/>
                        </w14:solidFill>
                      </w14:textFill>
                    </w:rPr>
                    <w:t>2</w:t>
                  </w:r>
                </w:p>
              </w:tc>
              <w:tc>
                <w:tcPr>
                  <w:tcW w:w="1651"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年平均质量浓度</w:t>
                  </w:r>
                </w:p>
              </w:tc>
              <w:tc>
                <w:tcPr>
                  <w:tcW w:w="683" w:type="pct"/>
                  <w:tcBorders>
                    <w:tl2br w:val="nil"/>
                    <w:tr2bl w:val="nil"/>
                  </w:tcBorders>
                  <w:shd w:val="clear" w:color="auto" w:fill="auto"/>
                  <w:noWrap/>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16</w:t>
                  </w:r>
                </w:p>
              </w:tc>
              <w:tc>
                <w:tcPr>
                  <w:tcW w:w="683"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60</w:t>
                  </w:r>
                </w:p>
              </w:tc>
              <w:tc>
                <w:tcPr>
                  <w:tcW w:w="683"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26.7</w:t>
                  </w:r>
                </w:p>
              </w:tc>
              <w:tc>
                <w:tcPr>
                  <w:tcW w:w="683" w:type="pct"/>
                  <w:tcBorders>
                    <w:tl2br w:val="nil"/>
                    <w:tr2bl w:val="nil"/>
                  </w:tcBorders>
                  <w:shd w:val="clear" w:color="auto" w:fill="auto"/>
                  <w:noWrap/>
                  <w:vAlign w:val="center"/>
                </w:tcPr>
                <w:p>
                  <w:pPr>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16"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NO</w:t>
                  </w:r>
                  <w:r>
                    <w:rPr>
                      <w:rFonts w:ascii="Times New Roman" w:hAnsi="Times New Roman"/>
                      <w:color w:val="000000" w:themeColor="text1"/>
                      <w:szCs w:val="21"/>
                      <w:vertAlign w:val="subscript"/>
                      <w14:textFill>
                        <w14:solidFill>
                          <w14:schemeClr w14:val="tx1"/>
                        </w14:solidFill>
                      </w14:textFill>
                    </w:rPr>
                    <w:t>2</w:t>
                  </w:r>
                </w:p>
              </w:tc>
              <w:tc>
                <w:tcPr>
                  <w:tcW w:w="1651"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年平均质量浓度</w:t>
                  </w:r>
                </w:p>
              </w:tc>
              <w:tc>
                <w:tcPr>
                  <w:tcW w:w="683" w:type="pct"/>
                  <w:tcBorders>
                    <w:tl2br w:val="nil"/>
                    <w:tr2bl w:val="nil"/>
                  </w:tcBorders>
                  <w:shd w:val="clear" w:color="auto" w:fill="auto"/>
                  <w:noWrap/>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15</w:t>
                  </w:r>
                </w:p>
              </w:tc>
              <w:tc>
                <w:tcPr>
                  <w:tcW w:w="683"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40</w:t>
                  </w:r>
                </w:p>
              </w:tc>
              <w:tc>
                <w:tcPr>
                  <w:tcW w:w="683"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37.5</w:t>
                  </w:r>
                </w:p>
              </w:tc>
              <w:tc>
                <w:tcPr>
                  <w:tcW w:w="683"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16"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CO</w:t>
                  </w:r>
                </w:p>
              </w:tc>
              <w:tc>
                <w:tcPr>
                  <w:tcW w:w="1651"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24</w:t>
                  </w:r>
                  <w:r>
                    <w:rPr>
                      <w:rFonts w:hint="eastAsia" w:ascii="Times New Roman" w:hAnsi="Times New Roman"/>
                      <w:color w:val="000000" w:themeColor="text1"/>
                      <w:szCs w:val="21"/>
                      <w:lang w:val="en-US" w:eastAsia="zh-CN"/>
                      <w14:textFill>
                        <w14:solidFill>
                          <w14:schemeClr w14:val="tx1"/>
                        </w14:solidFill>
                      </w14:textFill>
                    </w:rPr>
                    <w:t>h</w:t>
                  </w:r>
                  <w:r>
                    <w:rPr>
                      <w:rFonts w:ascii="Times New Roman" w:hAnsi="Times New Roman"/>
                      <w:color w:val="000000" w:themeColor="text1"/>
                      <w:szCs w:val="21"/>
                      <w14:textFill>
                        <w14:solidFill>
                          <w14:schemeClr w14:val="tx1"/>
                        </w14:solidFill>
                      </w14:textFill>
                    </w:rPr>
                    <w:t>平均第95百分位数</w:t>
                  </w:r>
                </w:p>
              </w:tc>
              <w:tc>
                <w:tcPr>
                  <w:tcW w:w="683" w:type="pct"/>
                  <w:tcBorders>
                    <w:tl2br w:val="nil"/>
                    <w:tr2bl w:val="nil"/>
                  </w:tcBorders>
                  <w:shd w:val="clear" w:color="auto" w:fill="auto"/>
                  <w:noWrap/>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1700</w:t>
                  </w:r>
                </w:p>
              </w:tc>
              <w:tc>
                <w:tcPr>
                  <w:tcW w:w="683"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4000</w:t>
                  </w:r>
                </w:p>
              </w:tc>
              <w:tc>
                <w:tcPr>
                  <w:tcW w:w="683"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42.5</w:t>
                  </w:r>
                </w:p>
              </w:tc>
              <w:tc>
                <w:tcPr>
                  <w:tcW w:w="683"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616"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O</w:t>
                  </w:r>
                  <w:r>
                    <w:rPr>
                      <w:rFonts w:ascii="Times New Roman" w:hAnsi="Times New Roman"/>
                      <w:color w:val="000000" w:themeColor="text1"/>
                      <w:szCs w:val="21"/>
                      <w:vertAlign w:val="subscript"/>
                      <w14:textFill>
                        <w14:solidFill>
                          <w14:schemeClr w14:val="tx1"/>
                        </w14:solidFill>
                      </w14:textFill>
                    </w:rPr>
                    <w:t>3</w:t>
                  </w:r>
                </w:p>
              </w:tc>
              <w:tc>
                <w:tcPr>
                  <w:tcW w:w="1651"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最大8</w:t>
                  </w:r>
                  <w:r>
                    <w:rPr>
                      <w:rFonts w:hint="eastAsia" w:ascii="Times New Roman" w:hAnsi="Times New Roman"/>
                      <w:color w:val="000000" w:themeColor="text1"/>
                      <w:szCs w:val="21"/>
                      <w:lang w:val="en-US" w:eastAsia="zh-CN"/>
                      <w14:textFill>
                        <w14:solidFill>
                          <w14:schemeClr w14:val="tx1"/>
                        </w14:solidFill>
                      </w14:textFill>
                    </w:rPr>
                    <w:t>h浓度</w:t>
                  </w:r>
                  <w:r>
                    <w:rPr>
                      <w:rFonts w:ascii="Times New Roman" w:hAnsi="Times New Roman"/>
                      <w:color w:val="000000" w:themeColor="text1"/>
                      <w:szCs w:val="21"/>
                      <w14:textFill>
                        <w14:solidFill>
                          <w14:schemeClr w14:val="tx1"/>
                        </w14:solidFill>
                      </w14:textFill>
                    </w:rPr>
                    <w:t>平均值</w:t>
                  </w:r>
                </w:p>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的第90百分位数</w:t>
                  </w:r>
                </w:p>
              </w:tc>
              <w:tc>
                <w:tcPr>
                  <w:tcW w:w="683" w:type="pct"/>
                  <w:tcBorders>
                    <w:tl2br w:val="nil"/>
                    <w:tr2bl w:val="nil"/>
                  </w:tcBorders>
                  <w:shd w:val="clear" w:color="auto" w:fill="auto"/>
                  <w:noWrap/>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161</w:t>
                  </w:r>
                </w:p>
              </w:tc>
              <w:tc>
                <w:tcPr>
                  <w:tcW w:w="683"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160</w:t>
                  </w:r>
                </w:p>
              </w:tc>
              <w:tc>
                <w:tcPr>
                  <w:tcW w:w="683"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100.6</w:t>
                  </w:r>
                </w:p>
              </w:tc>
              <w:tc>
                <w:tcPr>
                  <w:tcW w:w="683"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不达标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16" w:type="pct"/>
                  <w:tcBorders>
                    <w:tl2br w:val="nil"/>
                    <w:tr2bl w:val="nil"/>
                  </w:tcBorders>
                  <w:shd w:val="clear" w:color="auto" w:fill="auto"/>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PM</w:t>
                  </w:r>
                  <w:r>
                    <w:rPr>
                      <w:rFonts w:ascii="Times New Roman" w:hAnsi="Times New Roman"/>
                      <w:color w:val="000000" w:themeColor="text1"/>
                      <w:szCs w:val="21"/>
                      <w:vertAlign w:val="subscript"/>
                      <w14:textFill>
                        <w14:solidFill>
                          <w14:schemeClr w14:val="tx1"/>
                        </w14:solidFill>
                      </w14:textFill>
                    </w:rPr>
                    <w:t>10</w:t>
                  </w:r>
                </w:p>
              </w:tc>
              <w:tc>
                <w:tcPr>
                  <w:tcW w:w="1651"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年平均质量浓度</w:t>
                  </w:r>
                </w:p>
              </w:tc>
              <w:tc>
                <w:tcPr>
                  <w:tcW w:w="683" w:type="pct"/>
                  <w:tcBorders>
                    <w:tl2br w:val="nil"/>
                    <w:tr2bl w:val="nil"/>
                  </w:tcBorders>
                  <w:shd w:val="clear" w:color="auto" w:fill="auto"/>
                  <w:noWrap/>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75</w:t>
                  </w:r>
                </w:p>
              </w:tc>
              <w:tc>
                <w:tcPr>
                  <w:tcW w:w="683"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70</w:t>
                  </w:r>
                </w:p>
              </w:tc>
              <w:tc>
                <w:tcPr>
                  <w:tcW w:w="683"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107.1</w:t>
                  </w:r>
                </w:p>
              </w:tc>
              <w:tc>
                <w:tcPr>
                  <w:tcW w:w="683"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不达标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16" w:type="pct"/>
                  <w:tcBorders>
                    <w:tl2br w:val="nil"/>
                    <w:tr2bl w:val="nil"/>
                  </w:tcBorders>
                  <w:shd w:val="clear" w:color="auto" w:fill="auto"/>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PM</w:t>
                  </w:r>
                  <w:r>
                    <w:rPr>
                      <w:rFonts w:ascii="Times New Roman" w:hAnsi="Times New Roman"/>
                      <w:color w:val="000000" w:themeColor="text1"/>
                      <w:szCs w:val="21"/>
                      <w:vertAlign w:val="subscript"/>
                      <w14:textFill>
                        <w14:solidFill>
                          <w14:schemeClr w14:val="tx1"/>
                        </w14:solidFill>
                      </w14:textFill>
                    </w:rPr>
                    <w:t>2.5</w:t>
                  </w:r>
                </w:p>
              </w:tc>
              <w:tc>
                <w:tcPr>
                  <w:tcW w:w="1651"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年平均质量浓度</w:t>
                  </w:r>
                </w:p>
              </w:tc>
              <w:tc>
                <w:tcPr>
                  <w:tcW w:w="683" w:type="pct"/>
                  <w:tcBorders>
                    <w:tl2br w:val="nil"/>
                    <w:tr2bl w:val="nil"/>
                  </w:tcBorders>
                  <w:shd w:val="clear" w:color="auto" w:fill="auto"/>
                  <w:noWrap/>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38</w:t>
                  </w:r>
                </w:p>
              </w:tc>
              <w:tc>
                <w:tcPr>
                  <w:tcW w:w="683"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35</w:t>
                  </w:r>
                </w:p>
              </w:tc>
              <w:tc>
                <w:tcPr>
                  <w:tcW w:w="683"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108.6</w:t>
                  </w:r>
                </w:p>
              </w:tc>
              <w:tc>
                <w:tcPr>
                  <w:tcW w:w="683" w:type="pct"/>
                  <w:tcBorders>
                    <w:tl2br w:val="nil"/>
                    <w:tr2bl w:val="nil"/>
                  </w:tcBorders>
                  <w:shd w:val="clear" w:color="auto" w:fill="auto"/>
                  <w:noWrap/>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不达标</w:t>
                  </w:r>
                </w:p>
              </w:tc>
            </w:tr>
          </w:tbl>
          <w:p>
            <w:pPr>
              <w:spacing w:line="360" w:lineRule="auto"/>
              <w:ind w:firstLine="420"/>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根据统计结果可知，澄城县2020年环境空气常规六项指标中，SO</w:t>
            </w:r>
            <w:r>
              <w:rPr>
                <w:rFonts w:hint="eastAsia"/>
                <w:color w:val="000000" w:themeColor="text1"/>
                <w:sz w:val="24"/>
                <w:vertAlign w:val="sub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年平均质量浓度、NO</w:t>
            </w:r>
            <w:r>
              <w:rPr>
                <w:rFonts w:hint="eastAsia"/>
                <w:color w:val="000000" w:themeColor="text1"/>
                <w:sz w:val="24"/>
                <w:vertAlign w:val="sub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年平均质量浓度和CO24h平均第95百分位数满足《环境空气质量标准》（GB3095-2012）二级标准要求；PM</w:t>
            </w:r>
            <w:r>
              <w:rPr>
                <w:rFonts w:hint="eastAsia"/>
                <w:color w:val="000000" w:themeColor="text1"/>
                <w:sz w:val="24"/>
                <w:vertAlign w:val="subscript"/>
                <w:lang w:val="en-US" w:eastAsia="zh-CN"/>
                <w14:textFill>
                  <w14:solidFill>
                    <w14:schemeClr w14:val="tx1"/>
                  </w14:solidFill>
                </w14:textFill>
              </w:rPr>
              <w:t>10</w:t>
            </w:r>
            <w:r>
              <w:rPr>
                <w:rFonts w:hint="eastAsia"/>
                <w:color w:val="000000" w:themeColor="text1"/>
                <w:sz w:val="24"/>
                <w:vertAlign w:val="baseline"/>
                <w:lang w:val="en-US" w:eastAsia="zh-CN"/>
                <w14:textFill>
                  <w14:solidFill>
                    <w14:schemeClr w14:val="tx1"/>
                  </w14:solidFill>
                </w14:textFill>
              </w:rPr>
              <w:t>年平均质量浓度</w:t>
            </w:r>
            <w:r>
              <w:rPr>
                <w:rFonts w:hint="eastAsia"/>
                <w:color w:val="000000" w:themeColor="text1"/>
                <w:sz w:val="24"/>
                <w:lang w:val="en-US" w:eastAsia="zh-CN"/>
                <w14:textFill>
                  <w14:solidFill>
                    <w14:schemeClr w14:val="tx1"/>
                  </w14:solidFill>
                </w14:textFill>
              </w:rPr>
              <w:t>、PM</w:t>
            </w:r>
            <w:r>
              <w:rPr>
                <w:rFonts w:hint="eastAsia"/>
                <w:color w:val="000000" w:themeColor="text1"/>
                <w:sz w:val="24"/>
                <w:vertAlign w:val="subscript"/>
                <w:lang w:val="en-US" w:eastAsia="zh-CN"/>
                <w14:textFill>
                  <w14:solidFill>
                    <w14:schemeClr w14:val="tx1"/>
                  </w14:solidFill>
                </w14:textFill>
              </w:rPr>
              <w:t>2.5</w:t>
            </w:r>
            <w:r>
              <w:rPr>
                <w:rFonts w:hint="eastAsia"/>
                <w:color w:val="000000" w:themeColor="text1"/>
                <w:sz w:val="24"/>
                <w:vertAlign w:val="baseline"/>
                <w:lang w:val="en-US" w:eastAsia="zh-CN"/>
                <w14:textFill>
                  <w14:solidFill>
                    <w14:schemeClr w14:val="tx1"/>
                  </w14:solidFill>
                </w14:textFill>
              </w:rPr>
              <w:t>年平均质量浓度和</w:t>
            </w:r>
            <w:r>
              <w:rPr>
                <w:rFonts w:hint="eastAsia"/>
                <w:color w:val="000000" w:themeColor="text1"/>
                <w:sz w:val="24"/>
                <w:lang w:val="en-US" w:eastAsia="zh-CN"/>
                <w14:textFill>
                  <w14:solidFill>
                    <w14:schemeClr w14:val="tx1"/>
                  </w14:solidFill>
                </w14:textFill>
              </w:rPr>
              <w:t>O</w:t>
            </w:r>
            <w:r>
              <w:rPr>
                <w:rFonts w:hint="eastAsia"/>
                <w:color w:val="000000" w:themeColor="text1"/>
                <w:sz w:val="24"/>
                <w:vertAlign w:val="sub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最大8h浓度平均值第90百分位数</w:t>
            </w:r>
            <w:r>
              <w:rPr>
                <w:rFonts w:hint="eastAsia"/>
                <w:color w:val="000000" w:themeColor="text1"/>
                <w:sz w:val="24"/>
                <w:vertAlign w:val="baseline"/>
                <w:lang w:val="en-US" w:eastAsia="zh-CN"/>
                <w14:textFill>
                  <w14:solidFill>
                    <w14:schemeClr w14:val="tx1"/>
                  </w14:solidFill>
                </w14:textFill>
              </w:rPr>
              <w:t>超过</w:t>
            </w:r>
            <w:r>
              <w:rPr>
                <w:rFonts w:hint="eastAsia"/>
                <w:color w:val="000000" w:themeColor="text1"/>
                <w:sz w:val="24"/>
                <w:lang w:val="en-US" w:eastAsia="zh-CN"/>
                <w14:textFill>
                  <w14:solidFill>
                    <w14:schemeClr w14:val="tx1"/>
                  </w14:solidFill>
                </w14:textFill>
              </w:rPr>
              <w:t>《环境空气质量标准》（GB3095-2012）二级标准要求。因此，项目所在区域环境空气质量为不达标区。</w:t>
            </w:r>
          </w:p>
          <w:p>
            <w:pPr>
              <w:spacing w:line="360" w:lineRule="auto"/>
              <w:ind w:firstLine="480" w:firstLineChars="200"/>
              <w:jc w:val="left"/>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②声环境质量现状</w:t>
            </w:r>
          </w:p>
          <w:p>
            <w:pPr>
              <w:spacing w:line="360" w:lineRule="auto"/>
              <w:ind w:firstLine="42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根据生态环境部于2020年12月23日发布的《建设项目环境影响报告表编制技术指南（生态影响类）》中对生态环境质量现状的要求，本项目不开展声环境质量专项评价，无可引用的有效数据和相关资料，因此参照《建设项目环境影响报告表编制技术指南（污染影响类）》（试行）的相关规定开展声环境质量补充监测。</w:t>
            </w:r>
          </w:p>
          <w:p>
            <w:pPr>
              <w:spacing w:line="360" w:lineRule="auto"/>
              <w:ind w:firstLine="42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根据《建设项目环境影响报告表编制技术指南（污染影响类）》（试行）的相关规定，本项目拟建风机点位和35kV开关站厂界外周边50m范围内无声环境保护目标，无需开展声环境质量现状监测。</w:t>
            </w:r>
          </w:p>
          <w:p>
            <w:pPr>
              <w:spacing w:line="360" w:lineRule="auto"/>
              <w:ind w:firstLine="420"/>
              <w:rPr>
                <w:rFonts w:hint="default"/>
                <w:color w:val="FF0000"/>
                <w:sz w:val="24"/>
                <w:lang w:val="en-US" w:eastAsia="zh-CN"/>
              </w:rPr>
            </w:pPr>
            <w:r>
              <w:rPr>
                <w:rFonts w:hint="eastAsia"/>
                <w:color w:val="FF0000"/>
                <w:sz w:val="24"/>
                <w:lang w:val="en-US" w:eastAsia="zh-CN"/>
              </w:rPr>
              <w:t>根据单个风机在地面不同距离处的噪声贡献值，单个风机的声环境影响范围为250m；本项目最近环境保护目标为距T5号风机南侧329m处的王庄镇，不在单个风机的声环境影响范围内。因此，不需开展单个风机的声环境质量现状监测。</w:t>
            </w:r>
          </w:p>
          <w:p>
            <w:pPr>
              <w:spacing w:line="360" w:lineRule="auto"/>
              <w:ind w:firstLine="420"/>
              <w:rPr>
                <w:rFonts w:hint="default"/>
                <w:color w:val="000000" w:themeColor="text1"/>
                <w:lang w:val="en-US" w:eastAsia="zh-CN"/>
                <w14:textFill>
                  <w14:solidFill>
                    <w14:schemeClr w14:val="tx1"/>
                  </w14:solidFill>
                </w14:textFill>
              </w:rPr>
            </w:pPr>
            <w:r>
              <w:rPr>
                <w:rFonts w:hint="eastAsia"/>
                <w:color w:val="FF0000"/>
                <w:sz w:val="24"/>
                <w:lang w:val="en-US" w:eastAsia="zh-CN"/>
              </w:rPr>
              <w:t>综上所述，本项目不进行声环境质量现状监测。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904" w:type="dxa"/>
            <w:noWrap w:val="0"/>
            <w:vAlign w:val="center"/>
          </w:tcPr>
          <w:p>
            <w:pPr>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与项目有关的原有环境污染和生态破坏问题</w:t>
            </w:r>
          </w:p>
        </w:tc>
        <w:tc>
          <w:tcPr>
            <w:tcW w:w="8253" w:type="dxa"/>
            <w:noWrap w:val="0"/>
            <w:vAlign w:val="center"/>
          </w:tcPr>
          <w:p>
            <w:pPr>
              <w:adjustRightInd w:val="0"/>
              <w:snapToGrid w:val="0"/>
              <w:spacing w:line="360" w:lineRule="auto"/>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本项目为新建项目，不存在原有环境污染和环境破坏问题。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904" w:type="dxa"/>
            <w:noWrap w:val="0"/>
            <w:vAlign w:val="center"/>
          </w:tcPr>
          <w:p>
            <w:pPr>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生态环境保护目标</w:t>
            </w:r>
          </w:p>
        </w:tc>
        <w:tc>
          <w:tcPr>
            <w:tcW w:w="8253" w:type="dxa"/>
            <w:noWrap w:val="0"/>
            <w:vAlign w:val="center"/>
          </w:tcPr>
          <w:p>
            <w:pPr>
              <w:spacing w:line="360" w:lineRule="auto"/>
              <w:ind w:firstLine="480" w:firstLineChars="200"/>
              <w:rPr>
                <w:color w:val="000000" w:themeColor="text1"/>
                <w:sz w:val="24"/>
                <w:szCs w:val="24"/>
                <w14:textFill>
                  <w14:solidFill>
                    <w14:schemeClr w14:val="tx1"/>
                  </w14:solidFill>
                </w14:textFill>
              </w:rPr>
            </w:pPr>
            <w:r>
              <w:rPr>
                <w:rFonts w:hint="default"/>
                <w:color w:val="000000" w:themeColor="text1"/>
                <w:sz w:val="24"/>
                <w:szCs w:val="24"/>
                <w:lang w:val="en-US" w:eastAsia="zh-CN"/>
                <w14:textFill>
                  <w14:solidFill>
                    <w14:schemeClr w14:val="tx1"/>
                  </w14:solidFill>
                </w14:textFill>
              </w:rPr>
              <w:t>经</w:t>
            </w:r>
            <w:r>
              <w:rPr>
                <w:rFonts w:hint="eastAsia"/>
                <w:color w:val="000000" w:themeColor="text1"/>
                <w:sz w:val="24"/>
                <w:szCs w:val="24"/>
                <w:lang w:val="en-US" w:eastAsia="zh-CN"/>
                <w14:textFill>
                  <w14:solidFill>
                    <w14:schemeClr w14:val="tx1"/>
                  </w14:solidFill>
                </w14:textFill>
              </w:rPr>
              <w:t>现场</w:t>
            </w:r>
            <w:r>
              <w:rPr>
                <w:rFonts w:hint="default"/>
                <w:color w:val="000000" w:themeColor="text1"/>
                <w:sz w:val="24"/>
                <w:szCs w:val="24"/>
                <w:lang w:val="en-US" w:eastAsia="zh-CN"/>
                <w14:textFill>
                  <w14:solidFill>
                    <w14:schemeClr w14:val="tx1"/>
                  </w14:solidFill>
                </w14:textFill>
              </w:rPr>
              <w:t>调查</w:t>
            </w:r>
            <w:r>
              <w:rPr>
                <w:rFonts w:hint="eastAsia"/>
                <w:color w:val="000000" w:themeColor="text1"/>
                <w:sz w:val="24"/>
                <w:szCs w:val="24"/>
                <w:lang w:val="en-US" w:eastAsia="zh-CN"/>
                <w14:textFill>
                  <w14:solidFill>
                    <w14:schemeClr w14:val="tx1"/>
                  </w14:solidFill>
                </w14:textFill>
              </w:rPr>
              <w:t>，建设项目风场范围内</w:t>
            </w:r>
            <w:r>
              <w:rPr>
                <w:rFonts w:hint="default"/>
                <w:color w:val="000000" w:themeColor="text1"/>
                <w:sz w:val="24"/>
                <w:szCs w:val="24"/>
                <w:lang w:val="en-US" w:eastAsia="zh-CN"/>
                <w14:textFill>
                  <w14:solidFill>
                    <w14:schemeClr w14:val="tx1"/>
                  </w14:solidFill>
                </w14:textFill>
              </w:rPr>
              <w:t>不涉及自然保护区、风景名胜区、饮用水水源保护区等其它需特殊保护的敏感区域</w:t>
            </w:r>
            <w:r>
              <w:rPr>
                <w:rFonts w:hint="eastAsia"/>
                <w:color w:val="000000" w:themeColor="text1"/>
                <w:sz w:val="24"/>
                <w:szCs w:val="24"/>
                <w:lang w:val="en-US" w:eastAsia="zh-CN"/>
                <w14:textFill>
                  <w14:solidFill>
                    <w14:schemeClr w14:val="tx1"/>
                  </w14:solidFill>
                </w14:textFill>
              </w:rPr>
              <w:t>，无军事设施和文物古迹；项目所在地无地表水体，无土壤环境敏感目标；拟建风机和开关站200m范围内无声环境敏感目标；因此本项目</w:t>
            </w:r>
            <w:r>
              <w:rPr>
                <w:color w:val="000000" w:themeColor="text1"/>
                <w:sz w:val="24"/>
                <w:szCs w:val="24"/>
                <w14:textFill>
                  <w14:solidFill>
                    <w14:schemeClr w14:val="tx1"/>
                  </w14:solidFill>
                </w14:textFill>
              </w:rPr>
              <w:t>主要保护对象为项目区附近村庄居民，周围各敏感目标基本情况见表3-</w:t>
            </w:r>
            <w:r>
              <w:rPr>
                <w:rFonts w:hint="eastAsia"/>
                <w:color w:val="000000" w:themeColor="text1"/>
                <w:sz w:val="24"/>
                <w:szCs w:val="24"/>
                <w:lang w:val="en-US" w:eastAsia="zh-CN"/>
                <w14:textFill>
                  <w14:solidFill>
                    <w14:schemeClr w14:val="tx1"/>
                  </w14:solidFill>
                </w14:textFill>
              </w:rPr>
              <w:t>1</w:t>
            </w:r>
            <w:r>
              <w:rPr>
                <w:color w:val="000000" w:themeColor="text1"/>
                <w:sz w:val="24"/>
                <w:szCs w:val="24"/>
                <w14:textFill>
                  <w14:solidFill>
                    <w14:schemeClr w14:val="tx1"/>
                  </w14:solidFill>
                </w14:textFill>
              </w:rPr>
              <w:t>，坐标原点为各风机或开关站的中心位置，项目</w:t>
            </w:r>
            <w:r>
              <w:rPr>
                <w:rFonts w:hint="eastAsia"/>
                <w:color w:val="000000" w:themeColor="text1"/>
                <w:sz w:val="24"/>
                <w:szCs w:val="24"/>
                <w:lang w:val="en-US" w:eastAsia="zh-CN"/>
                <w14:textFill>
                  <w14:solidFill>
                    <w14:schemeClr w14:val="tx1"/>
                  </w14:solidFill>
                </w14:textFill>
              </w:rPr>
              <w:t>环境保护目标</w:t>
            </w:r>
            <w:r>
              <w:rPr>
                <w:color w:val="000000" w:themeColor="text1"/>
                <w:sz w:val="24"/>
                <w:szCs w:val="24"/>
                <w14:textFill>
                  <w14:solidFill>
                    <w14:schemeClr w14:val="tx1"/>
                  </w14:solidFill>
                </w14:textFill>
              </w:rPr>
              <w:t>分布图见附图</w:t>
            </w:r>
            <w:r>
              <w:rPr>
                <w:rFonts w:hint="eastAsia"/>
                <w:color w:val="000000" w:themeColor="text1"/>
                <w:sz w:val="24"/>
                <w:szCs w:val="24"/>
                <w14:textFill>
                  <w14:solidFill>
                    <w14:schemeClr w14:val="tx1"/>
                  </w14:solidFill>
                </w14:textFill>
              </w:rPr>
              <w:t>7</w:t>
            </w:r>
            <w:r>
              <w:rPr>
                <w:color w:val="000000" w:themeColor="text1"/>
                <w:sz w:val="24"/>
                <w:szCs w:val="24"/>
                <w14:textFill>
                  <w14:solidFill>
                    <w14:schemeClr w14:val="tx1"/>
                  </w14:solidFill>
                </w14:textFill>
              </w:rPr>
              <w:t>。</w:t>
            </w:r>
          </w:p>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表3-</w:t>
            </w:r>
            <w:r>
              <w:rPr>
                <w:rFonts w:hint="eastAsia"/>
                <w:color w:val="000000" w:themeColor="text1"/>
                <w:sz w:val="24"/>
                <w:szCs w:val="24"/>
                <w:lang w:val="en-US" w:eastAsia="zh-CN"/>
                <w14:textFill>
                  <w14:solidFill>
                    <w14:schemeClr w14:val="tx1"/>
                  </w14:solidFill>
                </w14:textFill>
              </w:rPr>
              <w:t>1</w:t>
            </w:r>
            <w:r>
              <w:rPr>
                <w:color w:val="000000" w:themeColor="text1"/>
                <w:sz w:val="24"/>
                <w:szCs w:val="24"/>
                <w14:textFill>
                  <w14:solidFill>
                    <w14:schemeClr w14:val="tx1"/>
                  </w14:solidFill>
                </w14:textFill>
              </w:rPr>
              <w:t xml:space="preserve">  环境</w:t>
            </w:r>
            <w:r>
              <w:rPr>
                <w:rFonts w:hint="eastAsia"/>
                <w:color w:val="000000" w:themeColor="text1"/>
                <w:sz w:val="24"/>
                <w:szCs w:val="24"/>
                <w:lang w:val="en-US" w:eastAsia="zh-CN"/>
                <w14:textFill>
                  <w14:solidFill>
                    <w14:schemeClr w14:val="tx1"/>
                  </w14:solidFill>
                </w14:textFill>
              </w:rPr>
              <w:t>保护</w:t>
            </w:r>
            <w:r>
              <w:rPr>
                <w:color w:val="000000" w:themeColor="text1"/>
                <w:sz w:val="24"/>
                <w:szCs w:val="24"/>
                <w14:textFill>
                  <w14:solidFill>
                    <w14:schemeClr w14:val="tx1"/>
                  </w14:solidFill>
                </w14:textFill>
              </w:rPr>
              <w:t>目标一览表</w:t>
            </w:r>
          </w:p>
          <w:tbl>
            <w:tblPr>
              <w:tblStyle w:val="19"/>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356"/>
              <w:gridCol w:w="1108"/>
              <w:gridCol w:w="1074"/>
              <w:gridCol w:w="1482"/>
              <w:gridCol w:w="892"/>
              <w:gridCol w:w="1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3" w:type="pct"/>
                  <w:vMerge w:val="restart"/>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bookmarkStart w:id="19" w:name="_Hlk58340626"/>
                  <w:r>
                    <w:rPr>
                      <w:rFonts w:hint="default" w:ascii="Times New Roman" w:hAnsi="Times New Roman" w:cs="Times New Roman"/>
                      <w:color w:val="000000" w:themeColor="text1"/>
                      <w:sz w:val="21"/>
                      <w:szCs w:val="21"/>
                      <w14:textFill>
                        <w14:solidFill>
                          <w14:schemeClr w14:val="tx1"/>
                        </w14:solidFill>
                      </w14:textFill>
                    </w:rPr>
                    <w:t>环境要素</w:t>
                  </w:r>
                </w:p>
              </w:tc>
              <w:tc>
                <w:tcPr>
                  <w:tcW w:w="847" w:type="pct"/>
                  <w:vMerge w:val="restart"/>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名称</w:t>
                  </w:r>
                </w:p>
              </w:tc>
              <w:tc>
                <w:tcPr>
                  <w:tcW w:w="2289" w:type="pct"/>
                  <w:gridSpan w:val="3"/>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相对位置</w:t>
                  </w:r>
                </w:p>
              </w:tc>
              <w:tc>
                <w:tcPr>
                  <w:tcW w:w="556" w:type="pct"/>
                  <w:vMerge w:val="restart"/>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保护</w:t>
                  </w:r>
                </w:p>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对象</w:t>
                  </w:r>
                </w:p>
              </w:tc>
              <w:tc>
                <w:tcPr>
                  <w:tcW w:w="753" w:type="pct"/>
                  <w:vMerge w:val="restart"/>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环境功能区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3" w:type="pct"/>
                  <w:vMerge w:val="continue"/>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847" w:type="pct"/>
                  <w:vMerge w:val="continue"/>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692" w:type="pct"/>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坐标原点</w:t>
                  </w:r>
                </w:p>
              </w:tc>
              <w:tc>
                <w:tcPr>
                  <w:tcW w:w="671" w:type="pct"/>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相对</w:t>
                  </w:r>
                  <w:r>
                    <w:rPr>
                      <w:rFonts w:hint="default" w:ascii="Times New Roman" w:hAnsi="Times New Roman" w:cs="Times New Roman"/>
                      <w:color w:val="000000" w:themeColor="text1"/>
                      <w:sz w:val="21"/>
                      <w:szCs w:val="21"/>
                      <w:lang w:val="en-US" w:eastAsia="zh-CN"/>
                      <w14:textFill>
                        <w14:solidFill>
                          <w14:schemeClr w14:val="tx1"/>
                        </w14:solidFill>
                      </w14:textFill>
                    </w:rPr>
                    <w:t>方位</w:t>
                  </w:r>
                </w:p>
              </w:tc>
              <w:tc>
                <w:tcPr>
                  <w:tcW w:w="926" w:type="pct"/>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相对距离(m)</w:t>
                  </w:r>
                </w:p>
              </w:tc>
              <w:tc>
                <w:tcPr>
                  <w:tcW w:w="556" w:type="pct"/>
                  <w:vMerge w:val="continue"/>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753" w:type="pct"/>
                  <w:vMerge w:val="continue"/>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553" w:type="pct"/>
                  <w:vMerge w:val="restart"/>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环境</w:t>
                  </w:r>
                </w:p>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空气</w:t>
                  </w:r>
                </w:p>
              </w:tc>
              <w:tc>
                <w:tcPr>
                  <w:tcW w:w="84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水洼村</w:t>
                  </w:r>
                </w:p>
              </w:tc>
              <w:tc>
                <w:tcPr>
                  <w:tcW w:w="692" w:type="pct"/>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T1风机</w:t>
                  </w:r>
                </w:p>
              </w:tc>
              <w:tc>
                <w:tcPr>
                  <w:tcW w:w="6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西北侧</w:t>
                  </w:r>
                </w:p>
              </w:tc>
              <w:tc>
                <w:tcPr>
                  <w:tcW w:w="92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501</w:t>
                  </w:r>
                </w:p>
              </w:tc>
              <w:tc>
                <w:tcPr>
                  <w:tcW w:w="556" w:type="pct"/>
                  <w:vMerge w:val="restart"/>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村民</w:t>
                  </w:r>
                </w:p>
              </w:tc>
              <w:tc>
                <w:tcPr>
                  <w:tcW w:w="753" w:type="pct"/>
                  <w:vMerge w:val="restart"/>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二类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553" w:type="pct"/>
                  <w:vMerge w:val="continue"/>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84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上杨家洼</w:t>
                  </w:r>
                </w:p>
              </w:tc>
              <w:tc>
                <w:tcPr>
                  <w:tcW w:w="692" w:type="pct"/>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T2风机</w:t>
                  </w:r>
                </w:p>
              </w:tc>
              <w:tc>
                <w:tcPr>
                  <w:tcW w:w="6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东侧</w:t>
                  </w:r>
                </w:p>
              </w:tc>
              <w:tc>
                <w:tcPr>
                  <w:tcW w:w="92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435</w:t>
                  </w:r>
                </w:p>
              </w:tc>
              <w:tc>
                <w:tcPr>
                  <w:tcW w:w="556" w:type="pct"/>
                  <w:vMerge w:val="continue"/>
                  <w:tcBorders>
                    <w:tl2br w:val="nil"/>
                    <w:tr2bl w:val="nil"/>
                  </w:tcBorders>
                  <w:vAlign w:val="center"/>
                </w:tcPr>
                <w:p>
                  <w:pPr>
                    <w:widowControl/>
                    <w:spacing w:line="240" w:lineRule="exact"/>
                    <w:jc w:val="center"/>
                    <w:textAlignment w:val="center"/>
                    <w:rPr>
                      <w:rFonts w:hint="default" w:ascii="Times New Roman" w:hAnsi="Times New Roman" w:cs="Times New Roman"/>
                      <w:color w:val="000000" w:themeColor="text1"/>
                      <w:sz w:val="21"/>
                      <w:szCs w:val="21"/>
                      <w14:textFill>
                        <w14:solidFill>
                          <w14:schemeClr w14:val="tx1"/>
                        </w14:solidFill>
                      </w14:textFill>
                    </w:rPr>
                  </w:pPr>
                </w:p>
              </w:tc>
              <w:tc>
                <w:tcPr>
                  <w:tcW w:w="753" w:type="pct"/>
                  <w:vMerge w:val="continue"/>
                  <w:tcBorders>
                    <w:tl2br w:val="nil"/>
                    <w:tr2bl w:val="nil"/>
                  </w:tcBorders>
                  <w:vAlign w:val="center"/>
                </w:tcPr>
                <w:p>
                  <w:pPr>
                    <w:widowControl/>
                    <w:spacing w:line="240" w:lineRule="exact"/>
                    <w:jc w:val="center"/>
                    <w:textAlignment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553" w:type="pct"/>
                  <w:vMerge w:val="continue"/>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84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岭头庄</w:t>
                  </w:r>
                </w:p>
              </w:tc>
              <w:tc>
                <w:tcPr>
                  <w:tcW w:w="692" w:type="pct"/>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T3风机</w:t>
                  </w:r>
                </w:p>
              </w:tc>
              <w:tc>
                <w:tcPr>
                  <w:tcW w:w="6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西侧</w:t>
                  </w:r>
                </w:p>
              </w:tc>
              <w:tc>
                <w:tcPr>
                  <w:tcW w:w="92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753</w:t>
                  </w:r>
                </w:p>
              </w:tc>
              <w:tc>
                <w:tcPr>
                  <w:tcW w:w="556" w:type="pct"/>
                  <w:vMerge w:val="continue"/>
                  <w:tcBorders>
                    <w:tl2br w:val="nil"/>
                    <w:tr2bl w:val="nil"/>
                  </w:tcBorders>
                  <w:vAlign w:val="center"/>
                </w:tcPr>
                <w:p>
                  <w:pPr>
                    <w:widowControl/>
                    <w:spacing w:line="240" w:lineRule="exact"/>
                    <w:jc w:val="center"/>
                    <w:textAlignment w:val="center"/>
                    <w:rPr>
                      <w:rFonts w:hint="default" w:ascii="Times New Roman" w:hAnsi="Times New Roman" w:cs="Times New Roman"/>
                      <w:color w:val="000000" w:themeColor="text1"/>
                      <w:sz w:val="21"/>
                      <w:szCs w:val="21"/>
                      <w14:textFill>
                        <w14:solidFill>
                          <w14:schemeClr w14:val="tx1"/>
                        </w14:solidFill>
                      </w14:textFill>
                    </w:rPr>
                  </w:pPr>
                </w:p>
              </w:tc>
              <w:tc>
                <w:tcPr>
                  <w:tcW w:w="753" w:type="pct"/>
                  <w:vMerge w:val="continue"/>
                  <w:tcBorders>
                    <w:tl2br w:val="nil"/>
                    <w:tr2bl w:val="nil"/>
                  </w:tcBorders>
                  <w:vAlign w:val="center"/>
                </w:tcPr>
                <w:p>
                  <w:pPr>
                    <w:widowControl/>
                    <w:spacing w:line="240" w:lineRule="exact"/>
                    <w:jc w:val="center"/>
                    <w:textAlignment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53" w:type="pct"/>
                  <w:vMerge w:val="continue"/>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84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鱼家洼村</w:t>
                  </w:r>
                </w:p>
              </w:tc>
              <w:tc>
                <w:tcPr>
                  <w:tcW w:w="692" w:type="pct"/>
                  <w:vMerge w:val="restart"/>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T4风机</w:t>
                  </w:r>
                </w:p>
              </w:tc>
              <w:tc>
                <w:tcPr>
                  <w:tcW w:w="6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西南侧</w:t>
                  </w:r>
                </w:p>
              </w:tc>
              <w:tc>
                <w:tcPr>
                  <w:tcW w:w="92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402</w:t>
                  </w:r>
                </w:p>
              </w:tc>
              <w:tc>
                <w:tcPr>
                  <w:tcW w:w="556" w:type="pct"/>
                  <w:vMerge w:val="continue"/>
                  <w:tcBorders>
                    <w:tl2br w:val="nil"/>
                    <w:tr2bl w:val="nil"/>
                  </w:tcBorders>
                  <w:vAlign w:val="center"/>
                </w:tcPr>
                <w:p>
                  <w:pPr>
                    <w:widowControl/>
                    <w:spacing w:line="240" w:lineRule="exact"/>
                    <w:jc w:val="center"/>
                    <w:textAlignment w:val="center"/>
                    <w:rPr>
                      <w:rFonts w:hint="default" w:ascii="Times New Roman" w:hAnsi="Times New Roman" w:cs="Times New Roman"/>
                      <w:color w:val="000000" w:themeColor="text1"/>
                      <w:sz w:val="21"/>
                      <w:szCs w:val="21"/>
                      <w14:textFill>
                        <w14:solidFill>
                          <w14:schemeClr w14:val="tx1"/>
                        </w14:solidFill>
                      </w14:textFill>
                    </w:rPr>
                  </w:pPr>
                </w:p>
              </w:tc>
              <w:tc>
                <w:tcPr>
                  <w:tcW w:w="753" w:type="pct"/>
                  <w:vMerge w:val="continue"/>
                  <w:tcBorders>
                    <w:tl2br w:val="nil"/>
                    <w:tr2bl w:val="nil"/>
                  </w:tcBorders>
                  <w:vAlign w:val="center"/>
                </w:tcPr>
                <w:p>
                  <w:pPr>
                    <w:widowControl/>
                    <w:spacing w:line="240" w:lineRule="exact"/>
                    <w:jc w:val="center"/>
                    <w:textAlignment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53" w:type="pct"/>
                  <w:vMerge w:val="continue"/>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84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薛家庄</w:t>
                  </w:r>
                </w:p>
              </w:tc>
              <w:tc>
                <w:tcPr>
                  <w:tcW w:w="692" w:type="pct"/>
                  <w:vMerge w:val="continue"/>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6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西北侧</w:t>
                  </w:r>
                </w:p>
              </w:tc>
              <w:tc>
                <w:tcPr>
                  <w:tcW w:w="92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411</w:t>
                  </w:r>
                </w:p>
              </w:tc>
              <w:tc>
                <w:tcPr>
                  <w:tcW w:w="556" w:type="pct"/>
                  <w:vMerge w:val="continue"/>
                  <w:tcBorders>
                    <w:tl2br w:val="nil"/>
                    <w:tr2bl w:val="nil"/>
                  </w:tcBorders>
                  <w:vAlign w:val="center"/>
                </w:tcPr>
                <w:p>
                  <w:pPr>
                    <w:widowControl/>
                    <w:spacing w:line="240" w:lineRule="exact"/>
                    <w:jc w:val="center"/>
                    <w:textAlignment w:val="center"/>
                    <w:rPr>
                      <w:rFonts w:hint="default" w:ascii="Times New Roman" w:hAnsi="Times New Roman" w:cs="Times New Roman"/>
                      <w:color w:val="000000" w:themeColor="text1"/>
                      <w:sz w:val="21"/>
                      <w:szCs w:val="21"/>
                      <w14:textFill>
                        <w14:solidFill>
                          <w14:schemeClr w14:val="tx1"/>
                        </w14:solidFill>
                      </w14:textFill>
                    </w:rPr>
                  </w:pPr>
                </w:p>
              </w:tc>
              <w:tc>
                <w:tcPr>
                  <w:tcW w:w="753" w:type="pct"/>
                  <w:vMerge w:val="continue"/>
                  <w:tcBorders>
                    <w:tl2br w:val="nil"/>
                    <w:tr2bl w:val="nil"/>
                  </w:tcBorders>
                  <w:vAlign w:val="center"/>
                </w:tcPr>
                <w:p>
                  <w:pPr>
                    <w:widowControl/>
                    <w:spacing w:line="240" w:lineRule="exact"/>
                    <w:jc w:val="center"/>
                    <w:textAlignment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84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王庄镇</w:t>
                  </w:r>
                </w:p>
              </w:tc>
              <w:tc>
                <w:tcPr>
                  <w:tcW w:w="692" w:type="pct"/>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T5风机</w:t>
                  </w:r>
                </w:p>
              </w:tc>
              <w:tc>
                <w:tcPr>
                  <w:tcW w:w="6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南侧</w:t>
                  </w:r>
                </w:p>
              </w:tc>
              <w:tc>
                <w:tcPr>
                  <w:tcW w:w="92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329</w:t>
                  </w:r>
                </w:p>
              </w:tc>
              <w:tc>
                <w:tcPr>
                  <w:tcW w:w="556" w:type="pct"/>
                  <w:vMerge w:val="continue"/>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753" w:type="pct"/>
                  <w:vMerge w:val="continue"/>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84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赵家洼</w:t>
                  </w:r>
                </w:p>
              </w:tc>
              <w:tc>
                <w:tcPr>
                  <w:tcW w:w="692" w:type="pct"/>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T7风机</w:t>
                  </w:r>
                </w:p>
              </w:tc>
              <w:tc>
                <w:tcPr>
                  <w:tcW w:w="6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西北侧</w:t>
                  </w:r>
                </w:p>
              </w:tc>
              <w:tc>
                <w:tcPr>
                  <w:tcW w:w="92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739</w:t>
                  </w:r>
                </w:p>
              </w:tc>
              <w:tc>
                <w:tcPr>
                  <w:tcW w:w="556" w:type="pct"/>
                  <w:vMerge w:val="continue"/>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753" w:type="pct"/>
                  <w:vMerge w:val="continue"/>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553" w:type="pct"/>
                  <w:vMerge w:val="continue"/>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84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李家洼村</w:t>
                  </w:r>
                </w:p>
              </w:tc>
              <w:tc>
                <w:tcPr>
                  <w:tcW w:w="692" w:type="pct"/>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T8风机</w:t>
                  </w:r>
                </w:p>
              </w:tc>
              <w:tc>
                <w:tcPr>
                  <w:tcW w:w="6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西北</w:t>
                  </w:r>
                  <w:r>
                    <w:rPr>
                      <w:rFonts w:hint="eastAsia" w:cs="Times New Roman"/>
                      <w:i w:val="0"/>
                      <w:color w:val="000000" w:themeColor="text1"/>
                      <w:kern w:val="0"/>
                      <w:sz w:val="21"/>
                      <w:szCs w:val="21"/>
                      <w:u w:val="none"/>
                      <w:lang w:val="en-US" w:eastAsia="zh-CN" w:bidi="ar"/>
                      <w14:textFill>
                        <w14:solidFill>
                          <w14:schemeClr w14:val="tx1"/>
                        </w14:solidFill>
                      </w14:textFill>
                    </w:rPr>
                    <w:t>偏北</w:t>
                  </w:r>
                </w:p>
              </w:tc>
              <w:tc>
                <w:tcPr>
                  <w:tcW w:w="92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eastAsia" w:cs="Times New Roman"/>
                      <w:i w:val="0"/>
                      <w:color w:val="000000" w:themeColor="text1"/>
                      <w:kern w:val="0"/>
                      <w:sz w:val="21"/>
                      <w:szCs w:val="21"/>
                      <w:u w:val="none"/>
                      <w:lang w:val="en-US" w:eastAsia="zh-CN" w:bidi="ar"/>
                      <w14:textFill>
                        <w14:solidFill>
                          <w14:schemeClr w14:val="tx1"/>
                        </w14:solidFill>
                      </w14:textFill>
                    </w:rPr>
                    <w:t>400</w:t>
                  </w:r>
                </w:p>
              </w:tc>
              <w:tc>
                <w:tcPr>
                  <w:tcW w:w="556" w:type="pct"/>
                  <w:vMerge w:val="continue"/>
                  <w:tcBorders>
                    <w:tl2br w:val="nil"/>
                    <w:tr2bl w:val="nil"/>
                  </w:tcBorders>
                  <w:vAlign w:val="center"/>
                </w:tcPr>
                <w:p>
                  <w:pPr>
                    <w:widowControl/>
                    <w:spacing w:line="240" w:lineRule="exact"/>
                    <w:jc w:val="center"/>
                    <w:textAlignment w:val="center"/>
                    <w:rPr>
                      <w:rFonts w:hint="default" w:ascii="Times New Roman" w:hAnsi="Times New Roman" w:cs="Times New Roman"/>
                      <w:color w:val="000000" w:themeColor="text1"/>
                      <w:sz w:val="21"/>
                      <w:szCs w:val="21"/>
                      <w14:textFill>
                        <w14:solidFill>
                          <w14:schemeClr w14:val="tx1"/>
                        </w14:solidFill>
                      </w14:textFill>
                    </w:rPr>
                  </w:pPr>
                </w:p>
              </w:tc>
              <w:tc>
                <w:tcPr>
                  <w:tcW w:w="753" w:type="pct"/>
                  <w:vMerge w:val="continue"/>
                  <w:tcBorders>
                    <w:tl2br w:val="nil"/>
                    <w:tr2bl w:val="nil"/>
                  </w:tcBorders>
                  <w:vAlign w:val="center"/>
                </w:tcPr>
                <w:p>
                  <w:pPr>
                    <w:widowControl/>
                    <w:spacing w:line="240" w:lineRule="exact"/>
                    <w:jc w:val="center"/>
                    <w:textAlignment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84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岭头村</w:t>
                  </w:r>
                </w:p>
              </w:tc>
              <w:tc>
                <w:tcPr>
                  <w:tcW w:w="692" w:type="pct"/>
                  <w:vMerge w:val="restart"/>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35kV开关站</w:t>
                  </w:r>
                </w:p>
              </w:tc>
              <w:tc>
                <w:tcPr>
                  <w:tcW w:w="6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东侧</w:t>
                  </w:r>
                </w:p>
              </w:tc>
              <w:tc>
                <w:tcPr>
                  <w:tcW w:w="92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419</w:t>
                  </w:r>
                </w:p>
              </w:tc>
              <w:tc>
                <w:tcPr>
                  <w:tcW w:w="556" w:type="pct"/>
                  <w:vMerge w:val="continue"/>
                  <w:tcBorders>
                    <w:tl2br w:val="nil"/>
                    <w:tr2bl w:val="nil"/>
                  </w:tcBorders>
                  <w:vAlign w:val="center"/>
                </w:tcPr>
                <w:p>
                  <w:pPr>
                    <w:widowControl/>
                    <w:spacing w:line="240" w:lineRule="exact"/>
                    <w:jc w:val="center"/>
                    <w:textAlignment w:val="center"/>
                    <w:rPr>
                      <w:rFonts w:hint="default" w:ascii="Times New Roman" w:hAnsi="Times New Roman" w:cs="Times New Roman"/>
                      <w:color w:val="000000" w:themeColor="text1"/>
                      <w:sz w:val="21"/>
                      <w:szCs w:val="21"/>
                      <w14:textFill>
                        <w14:solidFill>
                          <w14:schemeClr w14:val="tx1"/>
                        </w14:solidFill>
                      </w14:textFill>
                    </w:rPr>
                  </w:pPr>
                </w:p>
              </w:tc>
              <w:tc>
                <w:tcPr>
                  <w:tcW w:w="753" w:type="pct"/>
                  <w:vMerge w:val="continue"/>
                  <w:tcBorders>
                    <w:tl2br w:val="nil"/>
                    <w:tr2bl w:val="nil"/>
                  </w:tcBorders>
                  <w:vAlign w:val="center"/>
                </w:tcPr>
                <w:p>
                  <w:pPr>
                    <w:widowControl/>
                    <w:spacing w:line="240" w:lineRule="exact"/>
                    <w:jc w:val="center"/>
                    <w:textAlignment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84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下</w:t>
                  </w:r>
                  <w:r>
                    <w:rPr>
                      <w:rFonts w:hint="eastAsia" w:cs="Times New Roman"/>
                      <w:i w:val="0"/>
                      <w:color w:val="000000" w:themeColor="text1"/>
                      <w:kern w:val="0"/>
                      <w:sz w:val="21"/>
                      <w:szCs w:val="21"/>
                      <w:u w:val="none"/>
                      <w:lang w:val="en-US" w:eastAsia="zh-CN" w:bidi="ar"/>
                      <w14:textFill>
                        <w14:solidFill>
                          <w14:schemeClr w14:val="tx1"/>
                        </w14:solidFill>
                      </w14:textFill>
                    </w:rPr>
                    <w:t>杨</w:t>
                  </w: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家洼村</w:t>
                  </w:r>
                </w:p>
              </w:tc>
              <w:tc>
                <w:tcPr>
                  <w:tcW w:w="692" w:type="pct"/>
                  <w:vMerge w:val="continue"/>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6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西侧</w:t>
                  </w:r>
                </w:p>
              </w:tc>
              <w:tc>
                <w:tcPr>
                  <w:tcW w:w="926"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312</w:t>
                  </w:r>
                </w:p>
              </w:tc>
              <w:tc>
                <w:tcPr>
                  <w:tcW w:w="556" w:type="pct"/>
                  <w:vMerge w:val="continue"/>
                  <w:tcBorders>
                    <w:tl2br w:val="nil"/>
                    <w:tr2bl w:val="nil"/>
                  </w:tcBorders>
                  <w:vAlign w:val="center"/>
                </w:tcPr>
                <w:p>
                  <w:pPr>
                    <w:widowControl/>
                    <w:spacing w:line="240" w:lineRule="exact"/>
                    <w:jc w:val="center"/>
                    <w:textAlignment w:val="center"/>
                    <w:rPr>
                      <w:rFonts w:hint="default" w:ascii="Times New Roman" w:hAnsi="Times New Roman" w:cs="Times New Roman"/>
                      <w:color w:val="000000" w:themeColor="text1"/>
                      <w:sz w:val="21"/>
                      <w:szCs w:val="21"/>
                      <w14:textFill>
                        <w14:solidFill>
                          <w14:schemeClr w14:val="tx1"/>
                        </w14:solidFill>
                      </w14:textFill>
                    </w:rPr>
                  </w:pPr>
                </w:p>
              </w:tc>
              <w:tc>
                <w:tcPr>
                  <w:tcW w:w="753" w:type="pct"/>
                  <w:vMerge w:val="continue"/>
                  <w:tcBorders>
                    <w:tl2br w:val="nil"/>
                    <w:tr2bl w:val="nil"/>
                  </w:tcBorders>
                  <w:vAlign w:val="center"/>
                </w:tcPr>
                <w:p>
                  <w:pPr>
                    <w:widowControl/>
                    <w:spacing w:line="240" w:lineRule="exact"/>
                    <w:jc w:val="center"/>
                    <w:textAlignment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tcBorders>
                    <w:tl2br w:val="nil"/>
                    <w:tr2bl w:val="nil"/>
                  </w:tcBorders>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生态</w:t>
                  </w:r>
                </w:p>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环境</w:t>
                  </w:r>
                </w:p>
              </w:tc>
              <w:tc>
                <w:tcPr>
                  <w:tcW w:w="3693" w:type="pct"/>
                  <w:gridSpan w:val="5"/>
                  <w:tcBorders>
                    <w:tl2br w:val="nil"/>
                    <w:tr2bl w:val="nil"/>
                  </w:tcBorders>
                  <w:vAlign w:val="center"/>
                </w:tcPr>
                <w:p>
                  <w:pPr>
                    <w:widowControl/>
                    <w:spacing w:line="240" w:lineRule="exact"/>
                    <w:jc w:val="left"/>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本项目永久</w:t>
                  </w:r>
                  <w:r>
                    <w:rPr>
                      <w:color w:val="000000" w:themeColor="text1"/>
                      <w:sz w:val="21"/>
                      <w:szCs w:val="21"/>
                      <w14:textFill>
                        <w14:solidFill>
                          <w14:schemeClr w14:val="tx1"/>
                        </w14:solidFill>
                      </w14:textFill>
                    </w:rPr>
                    <w:t>占地及临时占地</w:t>
                  </w:r>
                  <w:r>
                    <w:rPr>
                      <w:rFonts w:hint="eastAsia"/>
                      <w:color w:val="000000" w:themeColor="text1"/>
                      <w:sz w:val="21"/>
                      <w:szCs w:val="21"/>
                      <w:lang w:val="en-US" w:eastAsia="zh-CN"/>
                      <w14:textFill>
                        <w14:solidFill>
                          <w14:schemeClr w14:val="tx1"/>
                        </w14:solidFill>
                      </w14:textFill>
                    </w:rPr>
                    <w:t>占用的耕地和</w:t>
                  </w:r>
                  <w:r>
                    <w:rPr>
                      <w:color w:val="000000" w:themeColor="text1"/>
                      <w:sz w:val="21"/>
                      <w:szCs w:val="21"/>
                      <w14:textFill>
                        <w14:solidFill>
                          <w14:schemeClr w14:val="tx1"/>
                        </w14:solidFill>
                      </w14:textFill>
                    </w:rPr>
                    <w:t>周边植被</w:t>
                  </w:r>
                  <w:r>
                    <w:rPr>
                      <w:rFonts w:hint="eastAsia"/>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评价范围内动物</w:t>
                  </w:r>
                </w:p>
              </w:tc>
              <w:tc>
                <w:tcPr>
                  <w:tcW w:w="753" w:type="pct"/>
                  <w:tcBorders>
                    <w:tl2br w:val="nil"/>
                    <w:tr2bl w:val="nil"/>
                  </w:tcBorders>
                  <w:vAlign w:val="center"/>
                </w:tcPr>
                <w:p>
                  <w:pPr>
                    <w:widowControl/>
                    <w:spacing w:line="240" w:lineRule="exact"/>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植被恢复至原有水平，耕地恢复至原耕种条件</w:t>
                  </w:r>
                </w:p>
              </w:tc>
            </w:tr>
            <w:bookmarkEnd w:id="19"/>
          </w:tbl>
          <w:p>
            <w:pPr>
              <w:pStyle w:val="2"/>
              <w:ind w:left="0" w:leftChars="0" w:firstLine="0" w:firstLineChars="0"/>
              <w:rPr>
                <w:rFonts w:hint="default"/>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904" w:type="dxa"/>
            <w:noWrap w:val="0"/>
            <w:vAlign w:val="center"/>
          </w:tcPr>
          <w:p>
            <w:pPr>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评价</w:t>
            </w:r>
          </w:p>
          <w:p>
            <w:pPr>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标准</w:t>
            </w:r>
          </w:p>
        </w:tc>
        <w:tc>
          <w:tcPr>
            <w:tcW w:w="8253" w:type="dxa"/>
            <w:noWrap w:val="0"/>
            <w:vAlign w:val="center"/>
          </w:tcPr>
          <w:p>
            <w:pPr>
              <w:numPr>
                <w:ilvl w:val="0"/>
                <w:numId w:val="0"/>
              </w:num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1、环境质量标准</w:t>
            </w:r>
          </w:p>
          <w:p>
            <w:pPr>
              <w:adjustRightInd w:val="0"/>
              <w:snapToGrid w:val="0"/>
              <w:spacing w:line="360" w:lineRule="auto"/>
              <w:ind w:firstLine="480" w:firstLineChars="200"/>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（1）环境空气质量执行《环境空气质量标准》（GB3095-2012）中的二级标准；</w:t>
            </w:r>
          </w:p>
          <w:p>
            <w:pPr>
              <w:adjustRightInd w:val="0"/>
              <w:snapToGrid w:val="0"/>
              <w:spacing w:line="360" w:lineRule="auto"/>
              <w:ind w:firstLine="480" w:firstLineChars="200"/>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（2）声环境质量执行《声环境质量标准》（GB3096-2008）中2类标准。</w:t>
            </w:r>
          </w:p>
          <w:p>
            <w:pPr>
              <w:numPr>
                <w:ilvl w:val="0"/>
                <w:numId w:val="0"/>
              </w:num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2、污染物排放标准</w:t>
            </w:r>
          </w:p>
          <w:p>
            <w:pPr>
              <w:spacing w:line="360" w:lineRule="auto"/>
              <w:ind w:firstLine="42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（1）施工期扬尘执行《施工场界扬尘排放限值》</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DB61/1078-2017</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中排放要求；其他大气污染物排放执行《大气污染物综合排放标准》</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GB16297-1996</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中的二级标准；</w:t>
            </w:r>
          </w:p>
          <w:p>
            <w:pPr>
              <w:spacing w:line="360" w:lineRule="auto"/>
              <w:ind w:firstLine="42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（2）废水综合利用不外排；</w:t>
            </w:r>
          </w:p>
          <w:p>
            <w:pPr>
              <w:spacing w:line="360" w:lineRule="auto"/>
              <w:ind w:firstLine="42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（3）施工噪声执行《建筑施工场界噪声排放标准》</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GB12523-2011</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中表1标准限值；运营期噪声执行《工业企业厂界环境噪声排放标准》</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GB12348-2008</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2类标准；</w:t>
            </w:r>
          </w:p>
          <w:p>
            <w:pPr>
              <w:spacing w:line="360" w:lineRule="auto"/>
              <w:ind w:firstLine="420"/>
              <w:rPr>
                <w:rFonts w:hint="eastAsia" w:eastAsia="宋体"/>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（4）一般固废执行《一般工业固体废物贮存、处置场污染控制标准》</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GB18599-20</w:t>
            </w:r>
            <w:r>
              <w:rPr>
                <w:rFonts w:hint="eastAsia" w:cs="Times New Roman"/>
                <w:color w:val="000000" w:themeColor="text1"/>
                <w:sz w:val="24"/>
                <w:szCs w:val="24"/>
                <w:lang w:val="en-US" w:eastAsia="zh-CN"/>
                <w14:textFill>
                  <w14:solidFill>
                    <w14:schemeClr w14:val="tx1"/>
                  </w14:solidFill>
                </w14:textFill>
              </w:rPr>
              <w:t>20</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中有关规定；危险废物贮存执行《危险废物贮存污染物控制标准》</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GB18597-2001</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及2013年修改单中有关规定</w:t>
            </w:r>
            <w:r>
              <w:rPr>
                <w:rFonts w:hint="eastAsia" w:ascii="Times New Roman" w:hAnsi="Times New Roman" w:cs="Times New Roman"/>
                <w:color w:val="000000" w:themeColor="text1"/>
                <w:sz w:val="24"/>
                <w:szCs w:val="24"/>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0" w:hRule="atLeast"/>
          <w:jc w:val="center"/>
        </w:trPr>
        <w:tc>
          <w:tcPr>
            <w:tcW w:w="904" w:type="dxa"/>
            <w:noWrap w:val="0"/>
            <w:vAlign w:val="center"/>
          </w:tcPr>
          <w:p>
            <w:pPr>
              <w:adjustRightInd w:val="0"/>
              <w:snapToGrid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其他</w:t>
            </w:r>
          </w:p>
        </w:tc>
        <w:tc>
          <w:tcPr>
            <w:tcW w:w="8253" w:type="dxa"/>
            <w:noWrap w:val="0"/>
            <w:vAlign w:val="center"/>
          </w:tcPr>
          <w:p>
            <w:pPr>
              <w:adjustRightInd w:val="0"/>
              <w:snapToGrid w:val="0"/>
              <w:spacing w:line="360" w:lineRule="auto"/>
              <w:ind w:firstLine="480" w:firstLineChars="200"/>
              <w:jc w:val="left"/>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根据工程分析，本项目</w:t>
            </w:r>
            <w:r>
              <w:rPr>
                <w:rFonts w:ascii="Times New Roman" w:hAnsi="Times New Roman"/>
                <w:color w:val="000000" w:themeColor="text1"/>
                <w:sz w:val="24"/>
                <w:szCs w:val="24"/>
                <w14:textFill>
                  <w14:solidFill>
                    <w14:schemeClr w14:val="tx1"/>
                  </w14:solidFill>
                </w14:textFill>
              </w:rPr>
              <w:t>不</w:t>
            </w:r>
            <w:r>
              <w:rPr>
                <w:rFonts w:hint="eastAsia"/>
                <w:color w:val="000000" w:themeColor="text1"/>
                <w:sz w:val="24"/>
                <w:szCs w:val="24"/>
                <w:lang w:val="en-US" w:eastAsia="zh-CN"/>
                <w14:textFill>
                  <w14:solidFill>
                    <w14:schemeClr w14:val="tx1"/>
                  </w14:solidFill>
                </w14:textFill>
              </w:rPr>
              <w:t>涉及</w:t>
            </w:r>
            <w:r>
              <w:rPr>
                <w:rFonts w:ascii="Times New Roman" w:hAnsi="Times New Roman"/>
                <w:color w:val="000000" w:themeColor="text1"/>
                <w:sz w:val="24"/>
                <w:szCs w:val="24"/>
                <w14:textFill>
                  <w14:solidFill>
                    <w14:schemeClr w14:val="tx1"/>
                  </w14:solidFill>
                </w14:textFill>
              </w:rPr>
              <w:t>总量控制指标</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无需申请总量。</w:t>
            </w:r>
          </w:p>
        </w:tc>
      </w:tr>
    </w:tbl>
    <w:p>
      <w:pPr>
        <w:pStyle w:val="15"/>
        <w:adjustRightInd w:val="0"/>
        <w:snapToGrid w:val="0"/>
        <w:spacing w:before="0" w:beforeAutospacing="0" w:after="0" w:afterAutospacing="0" w:line="14" w:lineRule="auto"/>
        <w:jc w:val="center"/>
        <w:outlineLvl w:val="0"/>
        <w:rPr>
          <w:rFonts w:ascii="黑体" w:hAnsi="黑体" w:eastAsia="黑体"/>
          <w:snapToGrid w:val="0"/>
          <w:color w:val="000000" w:themeColor="text1"/>
          <w:kern w:val="2"/>
          <w:sz w:val="36"/>
          <w:szCs w:val="36"/>
          <w14:textFill>
            <w14:solidFill>
              <w14:schemeClr w14:val="tx1"/>
            </w14:solidFill>
          </w14:textFill>
        </w:rPr>
      </w:pPr>
    </w:p>
    <w:p>
      <w:pPr>
        <w:pStyle w:val="15"/>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outlineLvl w:val="0"/>
        <w:rPr>
          <w:rFonts w:ascii="黑体" w:hAnsi="黑体" w:eastAsia="黑体"/>
          <w:snapToGrid w:val="0"/>
          <w:color w:val="000000" w:themeColor="text1"/>
          <w:kern w:val="2"/>
          <w:sz w:val="36"/>
          <w:szCs w:val="36"/>
          <w14:textFill>
            <w14:solidFill>
              <w14:schemeClr w14:val="tx1"/>
            </w14:solidFill>
          </w14:textFill>
        </w:rPr>
      </w:pPr>
      <w:r>
        <w:rPr>
          <w:rFonts w:ascii="黑体" w:hAnsi="黑体" w:eastAsia="黑体"/>
          <w:snapToGrid w:val="0"/>
          <w:color w:val="000000" w:themeColor="text1"/>
          <w:kern w:val="2"/>
          <w:sz w:val="36"/>
          <w:szCs w:val="36"/>
          <w14:textFill>
            <w14:solidFill>
              <w14:schemeClr w14:val="tx1"/>
            </w14:solidFill>
          </w14:textFill>
        </w:rPr>
        <w:br w:type="page"/>
      </w:r>
    </w:p>
    <w:p>
      <w:pPr>
        <w:pStyle w:val="15"/>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四、生态环境影响分析</w:t>
      </w:r>
    </w:p>
    <w:tbl>
      <w:tblPr>
        <w:tblStyle w:val="18"/>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noWrap w:val="0"/>
            <w:tcMar>
              <w:left w:w="28" w:type="dxa"/>
              <w:right w:w="28" w:type="dxa"/>
            </w:tcMar>
            <w:vAlign w:val="center"/>
          </w:tcPr>
          <w:p>
            <w:pPr>
              <w:pStyle w:val="15"/>
              <w:keepNext w:val="0"/>
              <w:keepLines w:val="0"/>
              <w:pageBreakBefore w:val="0"/>
              <w:kinsoku/>
              <w:wordWrap/>
              <w:overflowPunct/>
              <w:topLinePunct w:val="0"/>
              <w:bidi w:val="0"/>
              <w:adjustRightInd w:val="0"/>
              <w:snapToGrid/>
              <w:spacing w:before="0" w:beforeAutospacing="0" w:after="0" w:afterAutospacing="0"/>
              <w:jc w:val="center"/>
              <w:textAlignment w:val="auto"/>
              <w:rPr>
                <w:rFonts w:cs="宋体"/>
                <w:bCs/>
                <w:color w:val="000000" w:themeColor="text1"/>
                <w:kern w:val="2"/>
                <w:sz w:val="24"/>
                <w:szCs w:val="24"/>
                <w14:textFill>
                  <w14:solidFill>
                    <w14:schemeClr w14:val="tx1"/>
                  </w14:solidFill>
                </w14:textFill>
              </w:rPr>
            </w:pPr>
            <w:bookmarkStart w:id="20" w:name="_Hlk49796138"/>
            <w:r>
              <w:rPr>
                <w:rFonts w:hint="eastAsia" w:cs="宋体"/>
                <w:bCs/>
                <w:color w:val="000000" w:themeColor="text1"/>
                <w:spacing w:val="10"/>
                <w:kern w:val="2"/>
                <w:sz w:val="24"/>
                <w:szCs w:val="24"/>
                <w14:textFill>
                  <w14:solidFill>
                    <w14:schemeClr w14:val="tx1"/>
                  </w14:solidFill>
                </w14:textFill>
              </w:rPr>
              <w:t>施工期生态环境影响分析</w:t>
            </w:r>
            <w:bookmarkEnd w:id="20"/>
          </w:p>
        </w:tc>
        <w:tc>
          <w:tcPr>
            <w:tcW w:w="8363" w:type="dxa"/>
            <w:noWrap w:val="0"/>
            <w:vAlign w:val="top"/>
          </w:tcPr>
          <w:p>
            <w:pPr>
              <w:keepNext w:val="0"/>
              <w:keepLines w:val="0"/>
              <w:pageBreakBefore w:val="0"/>
              <w:kinsoku/>
              <w:wordWrap/>
              <w:overflowPunct/>
              <w:topLinePunct w:val="0"/>
              <w:bidi w:val="0"/>
              <w:snapToGrid/>
              <w:spacing w:line="360" w:lineRule="auto"/>
              <w:ind w:firstLine="241" w:firstLineChars="100"/>
              <w:textAlignment w:val="auto"/>
              <w:rPr>
                <w:rFonts w:hint="default" w:ascii="Times New Roman" w:hAnsi="Times New Roman"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1、</w:t>
            </w:r>
            <w:r>
              <w:rPr>
                <w:rFonts w:ascii="Times New Roman" w:hAnsi="Times New Roman"/>
                <w:b/>
                <w:bCs/>
                <w:color w:val="000000" w:themeColor="text1"/>
                <w:sz w:val="24"/>
                <w14:textFill>
                  <w14:solidFill>
                    <w14:schemeClr w14:val="tx1"/>
                  </w14:solidFill>
                </w14:textFill>
              </w:rPr>
              <w:t>施工期</w:t>
            </w:r>
            <w:r>
              <w:rPr>
                <w:rFonts w:hint="eastAsia"/>
                <w:b/>
                <w:bCs/>
                <w:color w:val="000000" w:themeColor="text1"/>
                <w:sz w:val="24"/>
                <w:lang w:val="en-US" w:eastAsia="zh-CN"/>
                <w14:textFill>
                  <w14:solidFill>
                    <w14:schemeClr w14:val="tx1"/>
                  </w14:solidFill>
                </w14:textFill>
              </w:rPr>
              <w:t>工艺流程产污环节</w:t>
            </w:r>
          </w:p>
          <w:p>
            <w:pPr>
              <w:keepNext w:val="0"/>
              <w:keepLines w:val="0"/>
              <w:pageBreakBefore w:val="0"/>
              <w:kinsoku/>
              <w:wordWrap/>
              <w:overflowPunct/>
              <w:topLinePunct w:val="0"/>
              <w:bidi w:val="0"/>
              <w:snapToGrid/>
              <w:spacing w:line="360" w:lineRule="auto"/>
              <w:ind w:firstLine="480" w:firstLineChars="200"/>
              <w:textAlignment w:val="auto"/>
              <w:outlineLvl w:val="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本项目施工期主要内容为修建道路、平整场地、风电机组安装、临时性工程、电缆及控制电缆埋设。项目施工期为</w:t>
            </w:r>
            <w:r>
              <w:rPr>
                <w:rFonts w:hint="eastAsia"/>
                <w:color w:val="000000" w:themeColor="text1"/>
                <w:sz w:val="24"/>
                <w:szCs w:val="24"/>
                <w:lang w:val="en-US" w:eastAsia="zh-CN"/>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个月，项目施工期工艺流程及产污情况如下图示：</w:t>
            </w:r>
          </w:p>
          <w:p>
            <w:pPr>
              <w:keepNext w:val="0"/>
              <w:keepLines w:val="0"/>
              <w:pageBreakBefore w:val="0"/>
              <w:kinsoku/>
              <w:wordWrap/>
              <w:overflowPunct/>
              <w:topLinePunct w:val="0"/>
              <w:bidi w:val="0"/>
              <w:snapToGrid/>
              <w:jc w:val="center"/>
              <w:textAlignment w:val="auto"/>
              <w:outlineLvl w:val="0"/>
              <w:rPr>
                <w:rFonts w:ascii="Times New Roman" w:hAnsi="Times New Roman"/>
                <w:color w:val="000000" w:themeColor="text1"/>
                <w14:textFill>
                  <w14:solidFill>
                    <w14:schemeClr w14:val="tx1"/>
                  </w14:solidFill>
                </w14:textFill>
              </w:rPr>
            </w:pPr>
          </w:p>
          <w:p>
            <w:pPr>
              <w:pStyle w:val="2"/>
              <w:keepNext w:val="0"/>
              <w:keepLines w:val="0"/>
              <w:pageBreakBefore w:val="0"/>
              <w:kinsoku/>
              <w:wordWrap/>
              <w:overflowPunct/>
              <w:topLinePunct w:val="0"/>
              <w:bidi w:val="0"/>
              <w:snapToGrid/>
              <w:spacing w:line="360" w:lineRule="auto"/>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drawing>
                <wp:inline distT="0" distB="0" distL="114300" distR="114300">
                  <wp:extent cx="4200525" cy="2835910"/>
                  <wp:effectExtent l="9525" t="9525" r="19050" b="12065"/>
                  <wp:docPr id="6" name="图片 6" descr="34-大唐澄城寺前50MW风力发电项目环境影响评价报告表_页面_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4-大唐澄城寺前50MW风力发电项目环境影响评价报告表_页面_032"/>
                          <pic:cNvPicPr>
                            <a:picLocks noChangeAspect="1"/>
                          </pic:cNvPicPr>
                        </pic:nvPicPr>
                        <pic:blipFill>
                          <a:blip r:embed="rId7"/>
                          <a:stretch>
                            <a:fillRect/>
                          </a:stretch>
                        </pic:blipFill>
                        <pic:spPr>
                          <a:xfrm>
                            <a:off x="0" y="0"/>
                            <a:ext cx="4200525" cy="2835910"/>
                          </a:xfrm>
                          <a:prstGeom prst="rect">
                            <a:avLst/>
                          </a:prstGeom>
                          <a:ln>
                            <a:solidFill>
                              <a:schemeClr val="tx1"/>
                            </a:solidFill>
                          </a:ln>
                        </pic:spPr>
                      </pic:pic>
                    </a:graphicData>
                  </a:graphic>
                </wp:inline>
              </w:drawing>
            </w:r>
          </w:p>
          <w:p>
            <w:pPr>
              <w:pStyle w:val="17"/>
              <w:keepNext w:val="0"/>
              <w:keepLines w:val="0"/>
              <w:pageBreakBefore w:val="0"/>
              <w:kinsoku/>
              <w:wordWrap/>
              <w:overflowPunct/>
              <w:topLinePunct w:val="0"/>
              <w:bidi w:val="0"/>
              <w:snapToGrid/>
              <w:ind w:left="0" w:leftChars="0" w:firstLine="0" w:firstLineChars="0"/>
              <w:jc w:val="center"/>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图</w:t>
            </w:r>
            <w:r>
              <w:rPr>
                <w:rFonts w:hint="eastAsia" w:eastAsia="宋体"/>
                <w:color w:val="000000" w:themeColor="text1"/>
                <w:sz w:val="24"/>
                <w:szCs w:val="24"/>
                <w:lang w:val="en-US" w:eastAsia="zh-CN"/>
                <w14:textFill>
                  <w14:solidFill>
                    <w14:schemeClr w14:val="tx1"/>
                  </w14:solidFill>
                </w14:textFill>
              </w:rPr>
              <w:t>4-1</w:t>
            </w:r>
            <w:r>
              <w:rPr>
                <w:rFonts w:ascii="Times New Roman" w:hAnsi="Times New Roman" w:eastAsia="Times New Roman"/>
                <w:color w:val="000000" w:themeColor="text1"/>
                <w:sz w:val="24"/>
                <w:szCs w:val="24"/>
                <w14:textFill>
                  <w14:solidFill>
                    <w14:schemeClr w14:val="tx1"/>
                  </w14:solidFill>
                </w14:textFill>
              </w:rPr>
              <w:t xml:space="preserve"> </w:t>
            </w:r>
            <w:r>
              <w:rPr>
                <w:rFonts w:hint="eastAsia" w:eastAsia="宋体"/>
                <w:color w:val="000000" w:themeColor="text1"/>
                <w:sz w:val="24"/>
                <w:szCs w:val="24"/>
                <w:lang w:val="en-US" w:eastAsia="zh-C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施工工艺流程及排污环节图</w:t>
            </w:r>
          </w:p>
          <w:p>
            <w:pPr>
              <w:keepNext w:val="0"/>
              <w:keepLines w:val="0"/>
              <w:pageBreakBefore w:val="0"/>
              <w:kinsoku/>
              <w:wordWrap/>
              <w:overflowPunct/>
              <w:topLinePunct w:val="0"/>
              <w:bidi w:val="0"/>
              <w:snapToGrid/>
              <w:spacing w:line="360" w:lineRule="auto"/>
              <w:ind w:firstLine="482" w:firstLineChars="200"/>
              <w:textAlignment w:val="auto"/>
              <w:rPr>
                <w:rFonts w:hint="default" w:ascii="Times New Roman" w:hAnsi="Times New Roman"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2、</w:t>
            </w:r>
            <w:r>
              <w:rPr>
                <w:rFonts w:ascii="Times New Roman" w:hAnsi="Times New Roman"/>
                <w:b/>
                <w:bCs/>
                <w:color w:val="000000" w:themeColor="text1"/>
                <w:sz w:val="24"/>
                <w14:textFill>
                  <w14:solidFill>
                    <w14:schemeClr w14:val="tx1"/>
                  </w14:solidFill>
                </w14:textFill>
              </w:rPr>
              <w:t>施工</w:t>
            </w:r>
            <w:r>
              <w:rPr>
                <w:rFonts w:hint="eastAsia"/>
                <w:b/>
                <w:bCs/>
                <w:color w:val="000000" w:themeColor="text1"/>
                <w:sz w:val="24"/>
                <w:lang w:val="en-US" w:eastAsia="zh-CN"/>
                <w14:textFill>
                  <w14:solidFill>
                    <w14:schemeClr w14:val="tx1"/>
                  </w14:solidFill>
                </w14:textFill>
              </w:rPr>
              <w:t>期环境影响分析</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1</w:t>
            </w:r>
            <w:r>
              <w:rPr>
                <w:rFonts w:hint="eastAsia"/>
                <w:b/>
                <w:bCs/>
                <w:color w:val="000000" w:themeColor="text1"/>
                <w:sz w:val="24"/>
                <w:lang w:eastAsia="zh-CN"/>
                <w14:textFill>
                  <w14:solidFill>
                    <w14:schemeClr w14:val="tx1"/>
                  </w14:solidFill>
                </w14:textFill>
              </w:rPr>
              <w:t>）</w:t>
            </w:r>
            <w:r>
              <w:rPr>
                <w:rFonts w:ascii="Times New Roman" w:hAnsi="Times New Roman"/>
                <w:b/>
                <w:bCs/>
                <w:color w:val="000000" w:themeColor="text1"/>
                <w:sz w:val="24"/>
                <w14:textFill>
                  <w14:solidFill>
                    <w14:schemeClr w14:val="tx1"/>
                  </w14:solidFill>
                </w14:textFill>
              </w:rPr>
              <w:t>大气环境</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FF0000"/>
                <w:sz w:val="24"/>
              </w:rPr>
              <w:t>施工期对环境空气的影响主要是施工扬尘</w:t>
            </w:r>
            <w:r>
              <w:rPr>
                <w:rFonts w:hint="eastAsia"/>
                <w:color w:val="FF0000"/>
                <w:sz w:val="24"/>
                <w:lang w:val="en-US" w:eastAsia="zh-CN"/>
              </w:rPr>
              <w:t>和</w:t>
            </w:r>
            <w:r>
              <w:rPr>
                <w:rFonts w:ascii="Times New Roman" w:hAnsi="Times New Roman"/>
                <w:color w:val="000000" w:themeColor="text1"/>
                <w:sz w:val="24"/>
                <w14:textFill>
                  <w14:solidFill>
                    <w14:schemeClr w14:val="tx1"/>
                  </w14:solidFill>
                </w14:textFill>
              </w:rPr>
              <w:t>施工机械废气。</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①</w:t>
            </w:r>
            <w:r>
              <w:rPr>
                <w:rFonts w:ascii="Times New Roman" w:hAnsi="Times New Roman"/>
                <w:color w:val="000000" w:themeColor="text1"/>
                <w:sz w:val="24"/>
                <w14:textFill>
                  <w14:solidFill>
                    <w14:schemeClr w14:val="tx1"/>
                  </w14:solidFill>
                </w14:textFill>
              </w:rPr>
              <w:t>施工扬尘</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施工扬尘主要集中在土建施工阶段，扬尘产生量主要取决于风速及地表干湿状况。若在春季施工，风速较大，地表干燥，扬尘量必然很大，将对风电场周围特别是下风向区域空气环境产生严重污染。而夏季施工，因风速较小，加之地表较湿，不易产生扬尘，对区域空气环境质量的影响也相对较小。</w:t>
            </w:r>
          </w:p>
          <w:p>
            <w:pPr>
              <w:keepNext w:val="0"/>
              <w:keepLines w:val="0"/>
              <w:pageBreakBefore w:val="0"/>
              <w:kinsoku/>
              <w:wordWrap/>
              <w:overflowPunct/>
              <w:topLinePunct w:val="0"/>
              <w:bidi w:val="0"/>
              <w:snapToGrid/>
              <w:spacing w:line="360" w:lineRule="auto"/>
              <w:ind w:firstLine="420"/>
              <w:textAlignment w:val="auto"/>
              <w:rPr>
                <w:rFonts w:hint="eastAsia"/>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据类比调查，在一般气象条件下（平均风速为2.5m/s）施工扬尘的影响范围为其下风向150m内，被影响地区的TSP浓度平均值为0.49mg/m</w:t>
            </w:r>
            <w:r>
              <w:rPr>
                <w:rFonts w:ascii="Times New Roman" w:hAnsi="Times New Roman"/>
                <w:color w:val="000000" w:themeColor="text1"/>
                <w:sz w:val="24"/>
                <w:vertAlign w:val="super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左右。本项目施工规模小，工期短，风机机位距离村庄的距离均200m以上，因此扬尘对敏感目标的环境空气质量影响较小。</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②</w:t>
            </w:r>
            <w:r>
              <w:rPr>
                <w:rFonts w:ascii="Times New Roman" w:hAnsi="Times New Roman"/>
                <w:color w:val="000000" w:themeColor="text1"/>
                <w:sz w:val="24"/>
                <w14:textFill>
                  <w14:solidFill>
                    <w14:schemeClr w14:val="tx1"/>
                  </w14:solidFill>
                </w14:textFill>
              </w:rPr>
              <w:t>施工机械废气</w:t>
            </w:r>
          </w:p>
          <w:p>
            <w:pPr>
              <w:keepNext w:val="0"/>
              <w:keepLines w:val="0"/>
              <w:pageBreakBefore w:val="0"/>
              <w:kinsoku/>
              <w:wordWrap/>
              <w:overflowPunct/>
              <w:topLinePunct w:val="0"/>
              <w:bidi w:val="0"/>
              <w:snapToGrid/>
              <w:spacing w:line="360" w:lineRule="auto"/>
              <w:ind w:firstLine="420"/>
              <w:textAlignment w:val="auto"/>
              <w:rPr>
                <w:rFonts w:hint="default" w:ascii="Times New Roman" w:hAnsi="Times New Roman"/>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燃油机械和运输车辆在运作过程中产生废气，主要污染物有CO、NOx、非甲烷总烃等。由于施工范围有限，废气排放量较小，污染范围较小且短暂</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对环境空气影响较小。</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2</w:t>
            </w:r>
            <w:r>
              <w:rPr>
                <w:rFonts w:hint="eastAsia"/>
                <w:b/>
                <w:bCs/>
                <w:color w:val="000000" w:themeColor="text1"/>
                <w:sz w:val="24"/>
                <w:lang w:eastAsia="zh-CN"/>
                <w14:textFill>
                  <w14:solidFill>
                    <w14:schemeClr w14:val="tx1"/>
                  </w14:solidFill>
                </w14:textFill>
              </w:rPr>
              <w:t>）</w:t>
            </w:r>
            <w:r>
              <w:rPr>
                <w:rFonts w:ascii="Times New Roman" w:hAnsi="Times New Roman"/>
                <w:b/>
                <w:bCs/>
                <w:color w:val="000000" w:themeColor="text1"/>
                <w:sz w:val="24"/>
                <w14:textFill>
                  <w14:solidFill>
                    <w14:schemeClr w14:val="tx1"/>
                  </w14:solidFill>
                </w14:textFill>
              </w:rPr>
              <w:t>水环境</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①</w:t>
            </w:r>
            <w:r>
              <w:rPr>
                <w:rFonts w:ascii="Times New Roman" w:hAnsi="Times New Roman"/>
                <w:color w:val="000000" w:themeColor="text1"/>
                <w:sz w:val="24"/>
                <w14:textFill>
                  <w14:solidFill>
                    <w14:schemeClr w14:val="tx1"/>
                  </w14:solidFill>
                </w14:textFill>
              </w:rPr>
              <w:t>施工生产废水</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施工期生产废水主要来自混凝土养护，运输车辆、施工机械的冲洗以及机械修配等环节</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szCs w:val="28"/>
                <w14:textFill>
                  <w14:solidFill>
                    <w14:schemeClr w14:val="tx1"/>
                  </w14:solidFill>
                </w14:textFill>
              </w:rPr>
              <w:t>施工废水设沉淀池处理后全部</w:t>
            </w:r>
            <w:r>
              <w:rPr>
                <w:rFonts w:hint="eastAsia"/>
                <w:color w:val="000000" w:themeColor="text1"/>
                <w:sz w:val="24"/>
                <w:szCs w:val="28"/>
                <w:lang w:val="en-US" w:eastAsia="zh-CN"/>
                <w14:textFill>
                  <w14:solidFill>
                    <w14:schemeClr w14:val="tx1"/>
                  </w14:solidFill>
                </w14:textFill>
              </w:rPr>
              <w:t>回用于</w:t>
            </w:r>
            <w:r>
              <w:rPr>
                <w:rFonts w:ascii="Times New Roman" w:hAnsi="Times New Roman"/>
                <w:color w:val="000000" w:themeColor="text1"/>
                <w:sz w:val="24"/>
                <w:szCs w:val="28"/>
                <w14:textFill>
                  <w14:solidFill>
                    <w14:schemeClr w14:val="tx1"/>
                  </w14:solidFill>
                </w14:textFill>
              </w:rPr>
              <w:t>施工，不外排</w:t>
            </w:r>
            <w:r>
              <w:rPr>
                <w:rFonts w:ascii="Times New Roman" w:hAnsi="Times New Roman"/>
                <w:color w:val="000000" w:themeColor="text1"/>
                <w:sz w:val="24"/>
                <w14:textFill>
                  <w14:solidFill>
                    <w14:schemeClr w14:val="tx1"/>
                  </w14:solidFill>
                </w14:textFill>
              </w:rPr>
              <w:t>。</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②</w:t>
            </w:r>
            <w:r>
              <w:rPr>
                <w:rFonts w:ascii="Times New Roman" w:hAnsi="Times New Roman"/>
                <w:color w:val="000000" w:themeColor="text1"/>
                <w:sz w:val="24"/>
                <w14:textFill>
                  <w14:solidFill>
                    <w14:schemeClr w14:val="tx1"/>
                  </w14:solidFill>
                </w14:textFill>
              </w:rPr>
              <w:t>施工生活污水</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生活污水来源于施工人员生活用水</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生活区设</w:t>
            </w:r>
            <w:r>
              <w:rPr>
                <w:rFonts w:hint="eastAsia" w:ascii="Times New Roman" w:hAnsi="Times New Roman"/>
                <w:color w:val="000000" w:themeColor="text1"/>
                <w:sz w:val="24"/>
                <w:lang w:eastAsia="zh-CN"/>
                <w14:textFill>
                  <w14:solidFill>
                    <w14:schemeClr w14:val="tx1"/>
                  </w14:solidFill>
                </w14:textFill>
              </w:rPr>
              <w:t>环保厕所</w:t>
            </w:r>
            <w:r>
              <w:rPr>
                <w:rFonts w:ascii="Times New Roman" w:hAnsi="Times New Roman"/>
                <w:color w:val="000000" w:themeColor="text1"/>
                <w:sz w:val="24"/>
                <w14:textFill>
                  <w14:solidFill>
                    <w14:schemeClr w14:val="tx1"/>
                  </w14:solidFill>
                </w14:textFill>
              </w:rPr>
              <w:t>，粪便用于周围农田施肥，盥洗废水沉淀处理后用于洒水抑尘，不外排。</w:t>
            </w:r>
          </w:p>
          <w:p>
            <w:pPr>
              <w:keepNext w:val="0"/>
              <w:keepLines w:val="0"/>
              <w:pageBreakBefore w:val="0"/>
              <w:kinsoku/>
              <w:wordWrap/>
              <w:overflowPunct/>
              <w:topLinePunct w:val="0"/>
              <w:bidi w:val="0"/>
              <w:snapToGrid/>
              <w:spacing w:line="360" w:lineRule="auto"/>
              <w:ind w:firstLine="420"/>
              <w:textAlignment w:val="auto"/>
              <w:rPr>
                <w:rFonts w:hint="default" w:ascii="Times New Roman" w:hAnsi="Times New Roman"/>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综上所述，施工期生产废水进行</w:t>
            </w:r>
            <w:r>
              <w:rPr>
                <w:rFonts w:hint="eastAsia"/>
                <w:color w:val="000000" w:themeColor="text1"/>
                <w:sz w:val="24"/>
                <w:lang w:val="en-US" w:eastAsia="zh-CN"/>
                <w14:textFill>
                  <w14:solidFill>
                    <w14:schemeClr w14:val="tx1"/>
                  </w14:solidFill>
                </w14:textFill>
              </w:rPr>
              <w:t>回用或合理处置，对水环境影响较小。</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3</w:t>
            </w:r>
            <w:r>
              <w:rPr>
                <w:rFonts w:hint="eastAsia"/>
                <w:b/>
                <w:bCs/>
                <w:color w:val="000000" w:themeColor="text1"/>
                <w:sz w:val="24"/>
                <w:lang w:eastAsia="zh-CN"/>
                <w14:textFill>
                  <w14:solidFill>
                    <w14:schemeClr w14:val="tx1"/>
                  </w14:solidFill>
                </w14:textFill>
              </w:rPr>
              <w:t>）</w:t>
            </w:r>
            <w:r>
              <w:rPr>
                <w:rFonts w:ascii="Times New Roman" w:hAnsi="Times New Roman"/>
                <w:b/>
                <w:bCs/>
                <w:color w:val="000000" w:themeColor="text1"/>
                <w:sz w:val="24"/>
                <w14:textFill>
                  <w14:solidFill>
                    <w14:schemeClr w14:val="tx1"/>
                  </w14:solidFill>
                </w14:textFill>
              </w:rPr>
              <w:t>声环境</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14:textFill>
                  <w14:solidFill>
                    <w14:schemeClr w14:val="tx1"/>
                  </w14:solidFill>
                </w14:textFill>
              </w:rPr>
              <w:t>施工期噪声源主要是场地平整、电力沟开挖及回填、设备安装时各类机械设备运行产生的噪声</w:t>
            </w:r>
            <w:r>
              <w:rPr>
                <w:rFonts w:hint="eastAsia"/>
                <w:color w:val="000000" w:themeColor="text1"/>
                <w:sz w:val="23"/>
                <w:lang w:eastAsia="zh-CN"/>
                <w14:textFill>
                  <w14:solidFill>
                    <w14:schemeClr w14:val="tx1"/>
                  </w14:solidFill>
                </w14:textFill>
              </w:rPr>
              <w:t>，</w:t>
            </w:r>
            <w:r>
              <w:rPr>
                <w:rFonts w:hint="eastAsia"/>
                <w:color w:val="000000" w:themeColor="text1"/>
                <w:sz w:val="23"/>
                <w:lang w:val="en-US" w:eastAsia="zh-CN"/>
                <w14:textFill>
                  <w14:solidFill>
                    <w14:schemeClr w14:val="tx1"/>
                  </w14:solidFill>
                </w14:textFill>
              </w:rPr>
              <w:t>声源噪声级85~95dB（A）。本项目采用合理施工时间、禁止夜间施工，加强设备维护和保养，确定设备正常运行；本项目施工场地外200m无敏感目标，</w:t>
            </w:r>
            <w:r>
              <w:rPr>
                <w:rFonts w:hint="eastAsia" w:ascii="Times New Roman" w:hAnsi="Times New Roman"/>
                <w:color w:val="000000" w:themeColor="text1"/>
                <w:sz w:val="24"/>
                <w:szCs w:val="24"/>
                <w14:textFill>
                  <w14:solidFill>
                    <w14:schemeClr w14:val="tx1"/>
                  </w14:solidFill>
                </w14:textFill>
              </w:rPr>
              <w:t>同时噪声的影响是短期的，项目建设完成后影响就会消失，因此，施工噪声环境影响</w:t>
            </w:r>
            <w:r>
              <w:rPr>
                <w:rFonts w:hint="eastAsia"/>
                <w:color w:val="000000" w:themeColor="text1"/>
                <w:sz w:val="24"/>
                <w:szCs w:val="24"/>
                <w:lang w:val="en-US" w:eastAsia="zh-CN"/>
                <w14:textFill>
                  <w14:solidFill>
                    <w14:schemeClr w14:val="tx1"/>
                  </w14:solidFill>
                </w14:textFill>
              </w:rPr>
              <w:t>较小</w:t>
            </w:r>
            <w:r>
              <w:rPr>
                <w:rFonts w:hint="eastAsia" w:ascii="Times New Roman" w:hAnsi="Times New Roman"/>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4</w:t>
            </w:r>
            <w:r>
              <w:rPr>
                <w:rFonts w:hint="eastAsia"/>
                <w:b/>
                <w:bCs/>
                <w:color w:val="000000" w:themeColor="text1"/>
                <w:sz w:val="24"/>
                <w:lang w:eastAsia="zh-CN"/>
                <w14:textFill>
                  <w14:solidFill>
                    <w14:schemeClr w14:val="tx1"/>
                  </w14:solidFill>
                </w14:textFill>
              </w:rPr>
              <w:t>）</w:t>
            </w:r>
            <w:r>
              <w:rPr>
                <w:rFonts w:ascii="Times New Roman" w:hAnsi="Times New Roman"/>
                <w:b/>
                <w:bCs/>
                <w:color w:val="000000" w:themeColor="text1"/>
                <w:sz w:val="24"/>
                <w14:textFill>
                  <w14:solidFill>
                    <w14:schemeClr w14:val="tx1"/>
                  </w14:solidFill>
                </w14:textFill>
              </w:rPr>
              <w:t>固体废物</w:t>
            </w:r>
          </w:p>
          <w:p>
            <w:pPr>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施工期的固体废物主要是施工弃渣和生活垃圾，均为一般固体废物。</w:t>
            </w:r>
          </w:p>
          <w:p>
            <w:pPr>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olor w:val="FF0000"/>
                <w:sz w:val="24"/>
              </w:rPr>
            </w:pPr>
            <w:r>
              <w:rPr>
                <w:rFonts w:ascii="Times New Roman" w:hAnsi="Times New Roman"/>
                <w:color w:val="FF0000"/>
                <w:sz w:val="24"/>
              </w:rPr>
              <w:t>（1）土石方</w:t>
            </w:r>
          </w:p>
          <w:p>
            <w:pPr>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olor w:val="FF0000"/>
                <w:sz w:val="24"/>
              </w:rPr>
            </w:pPr>
            <w:r>
              <w:rPr>
                <w:rFonts w:ascii="Times New Roman" w:hAnsi="Times New Roman"/>
                <w:color w:val="FF0000"/>
                <w:sz w:val="24"/>
              </w:rPr>
              <w:t>本项目共开挖土方</w:t>
            </w:r>
            <w:r>
              <w:rPr>
                <w:rFonts w:hint="eastAsia"/>
                <w:color w:val="FF0000"/>
                <w:sz w:val="24"/>
                <w:lang w:val="en-US" w:eastAsia="zh-CN"/>
              </w:rPr>
              <w:t>3.01</w:t>
            </w:r>
            <w:r>
              <w:rPr>
                <w:rFonts w:ascii="Times New Roman" w:hAnsi="Times New Roman"/>
                <w:color w:val="FF0000"/>
                <w:sz w:val="24"/>
              </w:rPr>
              <w:t>万m</w:t>
            </w:r>
            <w:r>
              <w:rPr>
                <w:rFonts w:ascii="Times New Roman" w:hAnsi="Times New Roman"/>
                <w:color w:val="FF0000"/>
                <w:sz w:val="24"/>
                <w:vertAlign w:val="superscript"/>
              </w:rPr>
              <w:t>3</w:t>
            </w:r>
            <w:r>
              <w:rPr>
                <w:rFonts w:ascii="Times New Roman" w:hAnsi="Times New Roman"/>
                <w:color w:val="FF0000"/>
                <w:sz w:val="24"/>
              </w:rPr>
              <w:t>，回填利用土方</w:t>
            </w:r>
            <w:r>
              <w:rPr>
                <w:rFonts w:hint="eastAsia"/>
                <w:color w:val="FF0000"/>
                <w:sz w:val="24"/>
                <w:lang w:val="en-US" w:eastAsia="zh-CN"/>
              </w:rPr>
              <w:t>3.01</w:t>
            </w:r>
            <w:r>
              <w:rPr>
                <w:rFonts w:ascii="Times New Roman" w:hAnsi="Times New Roman"/>
                <w:color w:val="FF0000"/>
                <w:sz w:val="24"/>
              </w:rPr>
              <w:t>万m</w:t>
            </w:r>
            <w:r>
              <w:rPr>
                <w:rFonts w:ascii="Times New Roman" w:hAnsi="Times New Roman"/>
                <w:color w:val="FF0000"/>
                <w:sz w:val="24"/>
                <w:vertAlign w:val="superscript"/>
              </w:rPr>
              <w:t>3</w:t>
            </w:r>
            <w:r>
              <w:rPr>
                <w:rFonts w:ascii="Times New Roman" w:hAnsi="Times New Roman"/>
                <w:color w:val="FF0000"/>
                <w:sz w:val="24"/>
              </w:rPr>
              <w:t>，没有余方，最终不产生施工弃渣，不设置弃土场</w:t>
            </w:r>
            <w:r>
              <w:rPr>
                <w:rFonts w:hint="eastAsia" w:ascii="Times New Roman" w:hAnsi="Times New Roman"/>
                <w:color w:val="FF0000"/>
                <w:sz w:val="24"/>
              </w:rPr>
              <w:t>。</w:t>
            </w:r>
            <w:r>
              <w:rPr>
                <w:rFonts w:ascii="Times New Roman" w:hAnsi="Times New Roman"/>
                <w:color w:val="FF0000"/>
                <w:sz w:val="24"/>
              </w:rPr>
              <w:t>其中：</w:t>
            </w:r>
          </w:p>
          <w:p>
            <w:pPr>
              <w:keepNext w:val="0"/>
              <w:keepLines w:val="0"/>
              <w:pageBreakBefore w:val="0"/>
              <w:tabs>
                <w:tab w:val="left" w:pos="2595"/>
              </w:tabs>
              <w:kinsoku/>
              <w:wordWrap/>
              <w:overflowPunct/>
              <w:topLinePunct w:val="0"/>
              <w:bidi w:val="0"/>
              <w:snapToGrid/>
              <w:spacing w:line="360" w:lineRule="auto"/>
              <w:ind w:firstLine="480" w:firstLineChars="200"/>
              <w:textAlignment w:val="auto"/>
              <w:rPr>
                <w:rFonts w:ascii="Times New Roman" w:hAnsi="Times New Roman"/>
                <w:color w:val="FF0000"/>
                <w:kern w:val="24"/>
                <w:sz w:val="24"/>
              </w:rPr>
            </w:pPr>
            <w:r>
              <w:rPr>
                <w:rFonts w:ascii="Times New Roman" w:hAnsi="Times New Roman"/>
                <w:color w:val="FF0000"/>
                <w:kern w:val="24"/>
                <w:sz w:val="24"/>
              </w:rPr>
              <w:t>①风电机组及箱变施工区</w:t>
            </w:r>
          </w:p>
          <w:p>
            <w:pPr>
              <w:keepNext w:val="0"/>
              <w:keepLines w:val="0"/>
              <w:pageBreakBefore w:val="0"/>
              <w:tabs>
                <w:tab w:val="left" w:pos="2595"/>
              </w:tabs>
              <w:kinsoku/>
              <w:wordWrap/>
              <w:overflowPunct/>
              <w:topLinePunct w:val="0"/>
              <w:bidi w:val="0"/>
              <w:snapToGrid/>
              <w:spacing w:line="360" w:lineRule="auto"/>
              <w:ind w:firstLine="480" w:firstLineChars="200"/>
              <w:textAlignment w:val="auto"/>
              <w:rPr>
                <w:rFonts w:ascii="Times New Roman" w:hAnsi="Times New Roman"/>
                <w:color w:val="FF0000"/>
                <w:kern w:val="24"/>
                <w:sz w:val="24"/>
              </w:rPr>
            </w:pPr>
            <w:r>
              <w:rPr>
                <w:rFonts w:ascii="Times New Roman" w:hAnsi="Times New Roman"/>
                <w:color w:val="FF0000"/>
                <w:kern w:val="24"/>
                <w:sz w:val="24"/>
              </w:rPr>
              <w:t>风电机组及箱变施工区包括风机基础开挖、接地开挖、箱变基础开挖和吊装场地平整及剥离表土等，共开挖土方</w:t>
            </w:r>
            <w:r>
              <w:rPr>
                <w:rFonts w:hint="eastAsia"/>
                <w:color w:val="FF0000"/>
                <w:kern w:val="24"/>
                <w:sz w:val="24"/>
                <w:lang w:val="en-US" w:eastAsia="zh-CN"/>
              </w:rPr>
              <w:t>1.07万</w:t>
            </w:r>
            <w:r>
              <w:rPr>
                <w:rFonts w:ascii="Times New Roman" w:hAnsi="Times New Roman"/>
                <w:color w:val="FF0000"/>
                <w:kern w:val="24"/>
                <w:sz w:val="24"/>
              </w:rPr>
              <w:t>m</w:t>
            </w:r>
            <w:r>
              <w:rPr>
                <w:rFonts w:ascii="Times New Roman" w:hAnsi="Times New Roman"/>
                <w:color w:val="FF0000"/>
                <w:kern w:val="24"/>
                <w:sz w:val="24"/>
                <w:vertAlign w:val="superscript"/>
              </w:rPr>
              <w:t>3</w:t>
            </w:r>
            <w:r>
              <w:rPr>
                <w:rFonts w:ascii="Times New Roman" w:hAnsi="Times New Roman"/>
                <w:color w:val="FF0000"/>
                <w:kern w:val="24"/>
                <w:sz w:val="24"/>
              </w:rPr>
              <w:t>，回填利用土方</w:t>
            </w:r>
            <w:r>
              <w:rPr>
                <w:rFonts w:hint="eastAsia"/>
                <w:color w:val="FF0000"/>
                <w:kern w:val="24"/>
                <w:sz w:val="24"/>
                <w:lang w:val="en-US" w:eastAsia="zh-CN"/>
              </w:rPr>
              <w:t>1.11万</w:t>
            </w:r>
            <w:r>
              <w:rPr>
                <w:rFonts w:ascii="Times New Roman" w:hAnsi="Times New Roman"/>
                <w:color w:val="FF0000"/>
                <w:kern w:val="24"/>
                <w:sz w:val="24"/>
              </w:rPr>
              <w:t>m</w:t>
            </w:r>
            <w:r>
              <w:rPr>
                <w:rFonts w:ascii="Times New Roman" w:hAnsi="Times New Roman"/>
                <w:color w:val="FF0000"/>
                <w:kern w:val="24"/>
                <w:sz w:val="24"/>
                <w:vertAlign w:val="superscript"/>
              </w:rPr>
              <w:t>3</w:t>
            </w:r>
            <w:r>
              <w:rPr>
                <w:rFonts w:ascii="Times New Roman" w:hAnsi="Times New Roman"/>
                <w:color w:val="FF0000"/>
                <w:kern w:val="24"/>
                <w:sz w:val="24"/>
              </w:rPr>
              <w:t>，</w:t>
            </w:r>
            <w:r>
              <w:rPr>
                <w:rFonts w:hint="eastAsia"/>
                <w:color w:val="FF0000"/>
                <w:kern w:val="24"/>
                <w:sz w:val="24"/>
                <w:lang w:val="en-US" w:eastAsia="zh-CN"/>
              </w:rPr>
              <w:t>需借方0.04万</w:t>
            </w:r>
            <w:r>
              <w:rPr>
                <w:rFonts w:ascii="Times New Roman" w:hAnsi="Times New Roman"/>
                <w:color w:val="FF0000"/>
                <w:kern w:val="24"/>
                <w:sz w:val="24"/>
              </w:rPr>
              <w:t>m</w:t>
            </w:r>
            <w:r>
              <w:rPr>
                <w:rFonts w:ascii="Times New Roman" w:hAnsi="Times New Roman"/>
                <w:color w:val="FF0000"/>
                <w:kern w:val="24"/>
                <w:sz w:val="24"/>
                <w:vertAlign w:val="superscript"/>
              </w:rPr>
              <w:t>3</w:t>
            </w:r>
            <w:r>
              <w:rPr>
                <w:rFonts w:ascii="Times New Roman" w:hAnsi="Times New Roman"/>
                <w:color w:val="FF0000"/>
                <w:kern w:val="24"/>
                <w:sz w:val="24"/>
              </w:rPr>
              <w:t>。</w:t>
            </w:r>
          </w:p>
          <w:p>
            <w:pPr>
              <w:keepNext w:val="0"/>
              <w:keepLines w:val="0"/>
              <w:pageBreakBefore w:val="0"/>
              <w:tabs>
                <w:tab w:val="left" w:pos="2595"/>
              </w:tabs>
              <w:kinsoku/>
              <w:wordWrap/>
              <w:overflowPunct/>
              <w:topLinePunct w:val="0"/>
              <w:bidi w:val="0"/>
              <w:snapToGrid/>
              <w:spacing w:line="360" w:lineRule="auto"/>
              <w:ind w:firstLine="480" w:firstLineChars="200"/>
              <w:textAlignment w:val="auto"/>
              <w:rPr>
                <w:rFonts w:ascii="Times New Roman" w:hAnsi="Times New Roman"/>
                <w:color w:val="FF0000"/>
                <w:kern w:val="24"/>
                <w:sz w:val="24"/>
              </w:rPr>
            </w:pPr>
            <w:r>
              <w:rPr>
                <w:rFonts w:ascii="Times New Roman" w:hAnsi="Times New Roman"/>
                <w:color w:val="FF0000"/>
                <w:kern w:val="24"/>
                <w:sz w:val="24"/>
              </w:rPr>
              <w:t>②输电线路区</w:t>
            </w:r>
          </w:p>
          <w:p>
            <w:pPr>
              <w:keepNext w:val="0"/>
              <w:keepLines w:val="0"/>
              <w:pageBreakBefore w:val="0"/>
              <w:tabs>
                <w:tab w:val="left" w:pos="2595"/>
              </w:tabs>
              <w:kinsoku/>
              <w:wordWrap/>
              <w:overflowPunct/>
              <w:topLinePunct w:val="0"/>
              <w:bidi w:val="0"/>
              <w:snapToGrid/>
              <w:spacing w:line="360" w:lineRule="auto"/>
              <w:ind w:firstLine="480" w:firstLineChars="200"/>
              <w:textAlignment w:val="auto"/>
              <w:rPr>
                <w:rFonts w:ascii="Times New Roman" w:hAnsi="Times New Roman"/>
                <w:color w:val="FF0000"/>
                <w:kern w:val="24"/>
                <w:sz w:val="24"/>
              </w:rPr>
            </w:pPr>
            <w:r>
              <w:rPr>
                <w:rFonts w:ascii="Times New Roman" w:hAnsi="Times New Roman"/>
                <w:color w:val="FF0000"/>
                <w:kern w:val="24"/>
                <w:sz w:val="24"/>
              </w:rPr>
              <w:t>主要包括架空线路塔基开挖、电缆沟开挖及供电线路开挖等，共开挖土方</w:t>
            </w:r>
            <w:r>
              <w:rPr>
                <w:rFonts w:hint="eastAsia"/>
                <w:color w:val="FF0000"/>
                <w:kern w:val="24"/>
                <w:sz w:val="24"/>
                <w:lang w:val="en-US" w:eastAsia="zh-CN"/>
              </w:rPr>
              <w:t>1.11</w:t>
            </w:r>
            <w:r>
              <w:rPr>
                <w:rFonts w:hint="eastAsia" w:ascii="Times New Roman" w:hAnsi="Times New Roman"/>
                <w:color w:val="FF0000"/>
                <w:kern w:val="24"/>
                <w:sz w:val="24"/>
              </w:rPr>
              <w:t>万</w:t>
            </w:r>
            <w:r>
              <w:rPr>
                <w:rFonts w:ascii="Times New Roman" w:hAnsi="Times New Roman"/>
                <w:color w:val="FF0000"/>
                <w:kern w:val="24"/>
                <w:sz w:val="24"/>
              </w:rPr>
              <w:t>m</w:t>
            </w:r>
            <w:r>
              <w:rPr>
                <w:rFonts w:ascii="Times New Roman" w:hAnsi="Times New Roman"/>
                <w:color w:val="FF0000"/>
                <w:kern w:val="24"/>
                <w:sz w:val="24"/>
                <w:vertAlign w:val="superscript"/>
              </w:rPr>
              <w:t>3</w:t>
            </w:r>
            <w:r>
              <w:rPr>
                <w:rFonts w:ascii="Times New Roman" w:hAnsi="Times New Roman"/>
                <w:color w:val="FF0000"/>
                <w:kern w:val="24"/>
                <w:sz w:val="24"/>
              </w:rPr>
              <w:t>，回填利用土方</w:t>
            </w:r>
            <w:r>
              <w:rPr>
                <w:rFonts w:hint="eastAsia"/>
                <w:color w:val="FF0000"/>
                <w:kern w:val="24"/>
                <w:sz w:val="24"/>
                <w:lang w:val="en-US" w:eastAsia="zh-CN"/>
              </w:rPr>
              <w:t>1.11</w:t>
            </w:r>
            <w:r>
              <w:rPr>
                <w:rFonts w:hint="eastAsia" w:ascii="Times New Roman" w:hAnsi="Times New Roman"/>
                <w:color w:val="FF0000"/>
                <w:kern w:val="24"/>
                <w:sz w:val="24"/>
              </w:rPr>
              <w:t>万</w:t>
            </w:r>
            <w:r>
              <w:rPr>
                <w:rFonts w:ascii="Times New Roman" w:hAnsi="Times New Roman"/>
                <w:color w:val="FF0000"/>
                <w:kern w:val="24"/>
                <w:sz w:val="24"/>
              </w:rPr>
              <w:t>m</w:t>
            </w:r>
            <w:r>
              <w:rPr>
                <w:rFonts w:ascii="Times New Roman" w:hAnsi="Times New Roman"/>
                <w:color w:val="FF0000"/>
                <w:kern w:val="24"/>
                <w:sz w:val="24"/>
                <w:vertAlign w:val="superscript"/>
              </w:rPr>
              <w:t>3</w:t>
            </w:r>
            <w:r>
              <w:rPr>
                <w:rFonts w:ascii="Times New Roman" w:hAnsi="Times New Roman"/>
                <w:color w:val="FF0000"/>
                <w:kern w:val="24"/>
                <w:sz w:val="24"/>
              </w:rPr>
              <w:t>，</w:t>
            </w:r>
            <w:r>
              <w:rPr>
                <w:rFonts w:hint="eastAsia" w:ascii="Times New Roman" w:hAnsi="Times New Roman"/>
                <w:color w:val="FF0000"/>
                <w:kern w:val="24"/>
                <w:sz w:val="24"/>
              </w:rPr>
              <w:t>无弃方产生</w:t>
            </w:r>
            <w:r>
              <w:rPr>
                <w:rFonts w:ascii="Times New Roman" w:hAnsi="Times New Roman"/>
                <w:color w:val="FF0000"/>
                <w:kern w:val="24"/>
                <w:sz w:val="24"/>
              </w:rPr>
              <w:t>。</w:t>
            </w:r>
          </w:p>
          <w:p>
            <w:pPr>
              <w:keepNext w:val="0"/>
              <w:keepLines w:val="0"/>
              <w:pageBreakBefore w:val="0"/>
              <w:tabs>
                <w:tab w:val="left" w:pos="2595"/>
              </w:tabs>
              <w:kinsoku/>
              <w:wordWrap/>
              <w:overflowPunct/>
              <w:topLinePunct w:val="0"/>
              <w:bidi w:val="0"/>
              <w:snapToGrid/>
              <w:spacing w:line="360" w:lineRule="auto"/>
              <w:ind w:firstLine="480" w:firstLineChars="200"/>
              <w:textAlignment w:val="auto"/>
              <w:rPr>
                <w:rFonts w:hint="default" w:ascii="Times New Roman" w:hAnsi="Times New Roman"/>
                <w:color w:val="FF0000"/>
                <w:kern w:val="24"/>
                <w:sz w:val="24"/>
                <w:lang w:val="en-US"/>
              </w:rPr>
            </w:pPr>
            <w:r>
              <w:rPr>
                <w:rFonts w:ascii="Times New Roman" w:hAnsi="Times New Roman"/>
                <w:color w:val="FF0000"/>
                <w:kern w:val="24"/>
                <w:sz w:val="24"/>
              </w:rPr>
              <w:t>③</w:t>
            </w:r>
            <w:r>
              <w:rPr>
                <w:rFonts w:hint="eastAsia"/>
                <w:color w:val="FF0000"/>
                <w:kern w:val="24"/>
                <w:sz w:val="24"/>
                <w:lang w:val="en-US" w:eastAsia="zh-CN"/>
              </w:rPr>
              <w:t>35kV开关站区</w:t>
            </w:r>
          </w:p>
          <w:p>
            <w:pPr>
              <w:keepNext w:val="0"/>
              <w:keepLines w:val="0"/>
              <w:pageBreakBefore w:val="0"/>
              <w:tabs>
                <w:tab w:val="left" w:pos="2595"/>
              </w:tabs>
              <w:kinsoku/>
              <w:wordWrap/>
              <w:overflowPunct/>
              <w:topLinePunct w:val="0"/>
              <w:bidi w:val="0"/>
              <w:snapToGrid/>
              <w:spacing w:line="360" w:lineRule="auto"/>
              <w:ind w:firstLine="480" w:firstLineChars="200"/>
              <w:textAlignment w:val="auto"/>
              <w:rPr>
                <w:rFonts w:ascii="Times New Roman" w:hAnsi="Times New Roman"/>
                <w:color w:val="FF0000"/>
                <w:kern w:val="24"/>
                <w:sz w:val="24"/>
              </w:rPr>
            </w:pPr>
            <w:r>
              <w:rPr>
                <w:rFonts w:ascii="Times New Roman" w:hAnsi="Times New Roman"/>
                <w:color w:val="FF0000"/>
                <w:kern w:val="24"/>
                <w:sz w:val="24"/>
              </w:rPr>
              <w:t>开关站区主要为场地平整和基础开挖，共开挖土方</w:t>
            </w:r>
            <w:r>
              <w:rPr>
                <w:rFonts w:hint="eastAsia"/>
                <w:color w:val="FF0000"/>
                <w:kern w:val="24"/>
                <w:sz w:val="24"/>
                <w:lang w:val="en-US" w:eastAsia="zh-CN"/>
              </w:rPr>
              <w:t>0.16万</w:t>
            </w:r>
            <w:r>
              <w:rPr>
                <w:rFonts w:ascii="Times New Roman" w:hAnsi="Times New Roman"/>
                <w:color w:val="FF0000"/>
                <w:kern w:val="24"/>
                <w:sz w:val="24"/>
              </w:rPr>
              <w:t>m</w:t>
            </w:r>
            <w:r>
              <w:rPr>
                <w:rFonts w:ascii="Times New Roman" w:hAnsi="Times New Roman"/>
                <w:color w:val="FF0000"/>
                <w:kern w:val="24"/>
                <w:sz w:val="24"/>
                <w:vertAlign w:val="superscript"/>
              </w:rPr>
              <w:t>3</w:t>
            </w:r>
            <w:r>
              <w:rPr>
                <w:rFonts w:ascii="Times New Roman" w:hAnsi="Times New Roman"/>
                <w:color w:val="FF0000"/>
                <w:kern w:val="24"/>
                <w:sz w:val="24"/>
              </w:rPr>
              <w:t>，回填利用土方</w:t>
            </w:r>
            <w:r>
              <w:rPr>
                <w:rFonts w:hint="eastAsia"/>
                <w:color w:val="FF0000"/>
                <w:kern w:val="24"/>
                <w:sz w:val="24"/>
                <w:lang w:val="en-US" w:eastAsia="zh-CN"/>
              </w:rPr>
              <w:t>0.12万</w:t>
            </w:r>
            <w:r>
              <w:rPr>
                <w:rFonts w:ascii="Times New Roman" w:hAnsi="Times New Roman"/>
                <w:color w:val="FF0000"/>
                <w:kern w:val="24"/>
                <w:sz w:val="24"/>
              </w:rPr>
              <w:t>m</w:t>
            </w:r>
            <w:r>
              <w:rPr>
                <w:rFonts w:ascii="Times New Roman" w:hAnsi="Times New Roman"/>
                <w:color w:val="FF0000"/>
                <w:kern w:val="24"/>
                <w:sz w:val="24"/>
                <w:vertAlign w:val="superscript"/>
              </w:rPr>
              <w:t>3</w:t>
            </w:r>
            <w:r>
              <w:rPr>
                <w:rFonts w:ascii="Times New Roman" w:hAnsi="Times New Roman"/>
                <w:color w:val="FF0000"/>
                <w:kern w:val="24"/>
                <w:sz w:val="24"/>
              </w:rPr>
              <w:t>，</w:t>
            </w:r>
            <w:r>
              <w:rPr>
                <w:rFonts w:hint="eastAsia"/>
                <w:color w:val="FF0000"/>
                <w:kern w:val="24"/>
                <w:sz w:val="24"/>
                <w:lang w:val="en-US" w:eastAsia="zh-CN"/>
              </w:rPr>
              <w:t>余方0.04万</w:t>
            </w:r>
            <w:r>
              <w:rPr>
                <w:rFonts w:ascii="Times New Roman" w:hAnsi="Times New Roman"/>
                <w:color w:val="FF0000"/>
                <w:kern w:val="24"/>
                <w:sz w:val="24"/>
              </w:rPr>
              <w:t>m</w:t>
            </w:r>
            <w:r>
              <w:rPr>
                <w:rFonts w:ascii="Times New Roman" w:hAnsi="Times New Roman"/>
                <w:color w:val="FF0000"/>
                <w:kern w:val="24"/>
                <w:sz w:val="24"/>
                <w:vertAlign w:val="superscript"/>
              </w:rPr>
              <w:t>3</w:t>
            </w:r>
            <w:r>
              <w:rPr>
                <w:rFonts w:ascii="Times New Roman" w:hAnsi="Times New Roman"/>
                <w:color w:val="FF0000"/>
                <w:kern w:val="24"/>
                <w:sz w:val="24"/>
              </w:rPr>
              <w:t>。</w:t>
            </w:r>
          </w:p>
          <w:p>
            <w:pPr>
              <w:keepNext w:val="0"/>
              <w:keepLines w:val="0"/>
              <w:pageBreakBefore w:val="0"/>
              <w:tabs>
                <w:tab w:val="left" w:pos="2595"/>
              </w:tabs>
              <w:kinsoku/>
              <w:wordWrap/>
              <w:overflowPunct/>
              <w:topLinePunct w:val="0"/>
              <w:bidi w:val="0"/>
              <w:snapToGrid/>
              <w:spacing w:line="360" w:lineRule="auto"/>
              <w:ind w:firstLine="480" w:firstLineChars="200"/>
              <w:textAlignment w:val="auto"/>
              <w:rPr>
                <w:rFonts w:ascii="Times New Roman" w:hAnsi="Times New Roman"/>
                <w:color w:val="FF0000"/>
                <w:kern w:val="24"/>
                <w:sz w:val="24"/>
              </w:rPr>
            </w:pPr>
            <w:r>
              <w:rPr>
                <w:rFonts w:ascii="Times New Roman" w:hAnsi="Times New Roman"/>
                <w:color w:val="FF0000"/>
                <w:kern w:val="24"/>
                <w:sz w:val="24"/>
              </w:rPr>
              <w:t>④道路工程区</w:t>
            </w:r>
          </w:p>
          <w:p>
            <w:pPr>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olor w:val="FF0000"/>
                <w:sz w:val="24"/>
              </w:rPr>
            </w:pPr>
            <w:r>
              <w:rPr>
                <w:rFonts w:ascii="Times New Roman" w:hAnsi="Times New Roman"/>
                <w:color w:val="FF0000"/>
                <w:kern w:val="24"/>
                <w:sz w:val="24"/>
              </w:rPr>
              <w:t>道路工程共开挖土方</w:t>
            </w:r>
            <w:r>
              <w:rPr>
                <w:rFonts w:hint="eastAsia"/>
                <w:color w:val="FF0000"/>
                <w:kern w:val="24"/>
                <w:sz w:val="24"/>
                <w:lang w:val="en-US" w:eastAsia="zh-CN"/>
              </w:rPr>
              <w:t>0.67</w:t>
            </w:r>
            <w:r>
              <w:rPr>
                <w:rFonts w:hint="eastAsia" w:ascii="Times New Roman" w:hAnsi="Times New Roman"/>
                <w:color w:val="FF0000"/>
                <w:kern w:val="24"/>
                <w:sz w:val="24"/>
              </w:rPr>
              <w:t>万</w:t>
            </w:r>
            <w:r>
              <w:rPr>
                <w:rFonts w:ascii="Times New Roman" w:hAnsi="Times New Roman"/>
                <w:color w:val="FF0000"/>
                <w:kern w:val="24"/>
                <w:sz w:val="24"/>
              </w:rPr>
              <w:t>m</w:t>
            </w:r>
            <w:r>
              <w:rPr>
                <w:rFonts w:ascii="Times New Roman" w:hAnsi="Times New Roman"/>
                <w:color w:val="FF0000"/>
                <w:kern w:val="24"/>
                <w:sz w:val="24"/>
                <w:vertAlign w:val="superscript"/>
              </w:rPr>
              <w:t>3</w:t>
            </w:r>
            <w:r>
              <w:rPr>
                <w:rFonts w:ascii="Times New Roman" w:hAnsi="Times New Roman"/>
                <w:color w:val="FF0000"/>
                <w:kern w:val="24"/>
                <w:sz w:val="24"/>
              </w:rPr>
              <w:t>，需回填土方</w:t>
            </w:r>
            <w:r>
              <w:rPr>
                <w:rFonts w:hint="eastAsia"/>
                <w:color w:val="FF0000"/>
                <w:kern w:val="24"/>
                <w:sz w:val="24"/>
                <w:lang w:val="en-US" w:eastAsia="zh-CN"/>
              </w:rPr>
              <w:t>0.67</w:t>
            </w:r>
            <w:r>
              <w:rPr>
                <w:rFonts w:hint="eastAsia" w:ascii="Times New Roman" w:hAnsi="Times New Roman"/>
                <w:color w:val="FF0000"/>
                <w:kern w:val="24"/>
                <w:sz w:val="24"/>
              </w:rPr>
              <w:t>万</w:t>
            </w:r>
            <w:r>
              <w:rPr>
                <w:rFonts w:ascii="Times New Roman" w:hAnsi="Times New Roman"/>
                <w:color w:val="FF0000"/>
                <w:kern w:val="24"/>
                <w:sz w:val="24"/>
              </w:rPr>
              <w:t>m</w:t>
            </w:r>
            <w:r>
              <w:rPr>
                <w:rFonts w:ascii="Times New Roman" w:hAnsi="Times New Roman"/>
                <w:color w:val="FF0000"/>
                <w:kern w:val="24"/>
                <w:sz w:val="24"/>
                <w:vertAlign w:val="superscript"/>
              </w:rPr>
              <w:t>3</w:t>
            </w:r>
            <w:r>
              <w:rPr>
                <w:rFonts w:ascii="Times New Roman" w:hAnsi="Times New Roman"/>
                <w:color w:val="FF0000"/>
                <w:kern w:val="24"/>
                <w:sz w:val="24"/>
              </w:rPr>
              <w:t>，</w:t>
            </w:r>
            <w:r>
              <w:rPr>
                <w:rFonts w:hint="eastAsia"/>
                <w:color w:val="FF0000"/>
                <w:kern w:val="24"/>
                <w:sz w:val="24"/>
                <w:lang w:val="en-US" w:eastAsia="zh-CN"/>
              </w:rPr>
              <w:t>无弃方</w:t>
            </w:r>
            <w:r>
              <w:rPr>
                <w:rFonts w:ascii="Times New Roman" w:hAnsi="Times New Roman"/>
                <w:color w:val="FF0000"/>
                <w:kern w:val="24"/>
                <w:sz w:val="24"/>
              </w:rPr>
              <w:t>。</w:t>
            </w:r>
            <w:r>
              <w:rPr>
                <w:rFonts w:hint="eastAsia"/>
                <w:color w:val="FF0000"/>
                <w:kern w:val="24"/>
                <w:sz w:val="24"/>
                <w:lang w:val="en-US" w:eastAsia="zh-CN"/>
              </w:rPr>
              <w:t>本</w:t>
            </w:r>
            <w:r>
              <w:rPr>
                <w:rFonts w:ascii="Times New Roman" w:hAnsi="Times New Roman"/>
                <w:color w:val="FF0000"/>
                <w:sz w:val="24"/>
              </w:rPr>
              <w:t>工程土石方平衡表见表</w:t>
            </w:r>
            <w:r>
              <w:rPr>
                <w:rFonts w:hint="eastAsia"/>
                <w:color w:val="FF0000"/>
                <w:sz w:val="24"/>
                <w:lang w:val="en-US" w:eastAsia="zh-CN"/>
              </w:rPr>
              <w:t>4-2</w:t>
            </w:r>
            <w:r>
              <w:rPr>
                <w:rFonts w:ascii="Times New Roman" w:hAnsi="Times New Roman"/>
                <w:color w:val="FF0000"/>
                <w:sz w:val="24"/>
              </w:rPr>
              <w:t>。</w:t>
            </w:r>
          </w:p>
          <w:p>
            <w:pPr>
              <w:pStyle w:val="44"/>
              <w:keepNext w:val="0"/>
              <w:keepLines w:val="0"/>
              <w:pageBreakBefore w:val="0"/>
              <w:kinsoku/>
              <w:wordWrap/>
              <w:overflowPunct/>
              <w:topLinePunct w:val="0"/>
              <w:bidi w:val="0"/>
              <w:snapToGrid/>
              <w:spacing w:line="240" w:lineRule="auto"/>
              <w:textAlignment w:val="auto"/>
              <w:rPr>
                <w:rFonts w:ascii="Times New Roman" w:hAnsi="Times New Roman" w:eastAsia="宋体"/>
                <w:color w:val="FF0000"/>
              </w:rPr>
            </w:pPr>
            <w:r>
              <w:rPr>
                <w:rFonts w:ascii="Times New Roman" w:hAnsi="Times New Roman" w:eastAsia="宋体"/>
                <w:color w:val="FF0000"/>
              </w:rPr>
              <w:t>表</w:t>
            </w:r>
            <w:r>
              <w:rPr>
                <w:rFonts w:hint="eastAsia" w:eastAsia="宋体"/>
                <w:color w:val="FF0000"/>
                <w:lang w:val="en-US" w:eastAsia="zh-CN"/>
              </w:rPr>
              <w:t>4-2</w:t>
            </w:r>
            <w:r>
              <w:rPr>
                <w:rFonts w:ascii="Times New Roman" w:hAnsi="Times New Roman" w:eastAsia="宋体"/>
                <w:color w:val="FF0000"/>
              </w:rPr>
              <w:t xml:space="preserve">  项目施工土石方平衡表</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341"/>
              <w:gridCol w:w="1772"/>
              <w:gridCol w:w="1760"/>
              <w:gridCol w:w="16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3" w:type="pct"/>
                  <w:tcBorders>
                    <w:tl2br w:val="nil"/>
                    <w:tr2bl w:val="nil"/>
                  </w:tcBorders>
                  <w:noWrap/>
                  <w:vAlign w:val="center"/>
                </w:tcPr>
                <w:p>
                  <w:pPr>
                    <w:keepNext w:val="0"/>
                    <w:keepLines w:val="0"/>
                    <w:pageBreakBefore w:val="0"/>
                    <w:widowControl/>
                    <w:kinsoku/>
                    <w:wordWrap/>
                    <w:overflowPunct/>
                    <w:topLinePunct w:val="0"/>
                    <w:bidi w:val="0"/>
                    <w:snapToGrid/>
                    <w:jc w:val="center"/>
                    <w:textAlignment w:val="auto"/>
                    <w:rPr>
                      <w:rFonts w:ascii="Times New Roman" w:hAnsi="Times New Roman"/>
                      <w:color w:val="FF0000"/>
                      <w:kern w:val="0"/>
                      <w:szCs w:val="21"/>
                    </w:rPr>
                  </w:pPr>
                  <w:r>
                    <w:rPr>
                      <w:rFonts w:ascii="Times New Roman" w:hAnsi="Times New Roman"/>
                      <w:color w:val="FF0000"/>
                      <w:kern w:val="0"/>
                      <w:szCs w:val="21"/>
                    </w:rPr>
                    <w:t>序号</w:t>
                  </w:r>
                </w:p>
              </w:tc>
              <w:tc>
                <w:tcPr>
                  <w:tcW w:w="1430" w:type="pct"/>
                  <w:tcBorders>
                    <w:tl2br w:val="nil"/>
                    <w:tr2bl w:val="nil"/>
                  </w:tcBorders>
                  <w:noWrap/>
                  <w:vAlign w:val="center"/>
                </w:tcPr>
                <w:p>
                  <w:pPr>
                    <w:keepNext w:val="0"/>
                    <w:keepLines w:val="0"/>
                    <w:pageBreakBefore w:val="0"/>
                    <w:widowControl/>
                    <w:kinsoku/>
                    <w:wordWrap/>
                    <w:overflowPunct/>
                    <w:topLinePunct w:val="0"/>
                    <w:bidi w:val="0"/>
                    <w:snapToGrid/>
                    <w:jc w:val="center"/>
                    <w:textAlignment w:val="auto"/>
                    <w:rPr>
                      <w:rFonts w:ascii="Times New Roman" w:hAnsi="Times New Roman"/>
                      <w:color w:val="FF0000"/>
                      <w:kern w:val="0"/>
                      <w:szCs w:val="21"/>
                    </w:rPr>
                  </w:pPr>
                  <w:r>
                    <w:rPr>
                      <w:rFonts w:ascii="Times New Roman" w:hAnsi="Times New Roman"/>
                      <w:color w:val="FF0000"/>
                      <w:kern w:val="0"/>
                      <w:szCs w:val="21"/>
                    </w:rPr>
                    <w:t>项目</w:t>
                  </w:r>
                </w:p>
              </w:tc>
              <w:tc>
                <w:tcPr>
                  <w:tcW w:w="1086" w:type="pct"/>
                  <w:tcBorders>
                    <w:tl2br w:val="nil"/>
                    <w:tr2bl w:val="nil"/>
                  </w:tcBorders>
                  <w:noWrap/>
                  <w:vAlign w:val="center"/>
                </w:tcPr>
                <w:p>
                  <w:pPr>
                    <w:keepNext w:val="0"/>
                    <w:keepLines w:val="0"/>
                    <w:pageBreakBefore w:val="0"/>
                    <w:widowControl/>
                    <w:kinsoku/>
                    <w:wordWrap/>
                    <w:overflowPunct/>
                    <w:topLinePunct w:val="0"/>
                    <w:bidi w:val="0"/>
                    <w:snapToGrid/>
                    <w:jc w:val="center"/>
                    <w:textAlignment w:val="auto"/>
                    <w:rPr>
                      <w:rFonts w:ascii="Times New Roman" w:hAnsi="Times New Roman"/>
                      <w:color w:val="FF0000"/>
                      <w:kern w:val="0"/>
                      <w:szCs w:val="21"/>
                    </w:rPr>
                  </w:pPr>
                  <w:r>
                    <w:rPr>
                      <w:rFonts w:ascii="Times New Roman" w:hAnsi="Times New Roman"/>
                      <w:color w:val="FF0000"/>
                      <w:kern w:val="0"/>
                      <w:szCs w:val="21"/>
                    </w:rPr>
                    <w:t>挖方量（万m</w:t>
                  </w:r>
                  <w:r>
                    <w:rPr>
                      <w:rFonts w:ascii="Times New Roman" w:hAnsi="Times New Roman"/>
                      <w:color w:val="FF0000"/>
                      <w:kern w:val="0"/>
                      <w:szCs w:val="21"/>
                      <w:vertAlign w:val="superscript"/>
                    </w:rPr>
                    <w:t>3</w:t>
                  </w:r>
                  <w:r>
                    <w:rPr>
                      <w:rFonts w:ascii="Times New Roman" w:hAnsi="Times New Roman"/>
                      <w:color w:val="FF0000"/>
                      <w:kern w:val="0"/>
                      <w:szCs w:val="21"/>
                    </w:rPr>
                    <w:t>）</w:t>
                  </w:r>
                </w:p>
              </w:tc>
              <w:tc>
                <w:tcPr>
                  <w:tcW w:w="1001" w:type="pct"/>
                  <w:tcBorders>
                    <w:tl2br w:val="nil"/>
                    <w:tr2bl w:val="nil"/>
                  </w:tcBorders>
                  <w:noWrap/>
                  <w:vAlign w:val="center"/>
                </w:tcPr>
                <w:p>
                  <w:pPr>
                    <w:keepNext w:val="0"/>
                    <w:keepLines w:val="0"/>
                    <w:pageBreakBefore w:val="0"/>
                    <w:widowControl/>
                    <w:kinsoku/>
                    <w:wordWrap/>
                    <w:overflowPunct/>
                    <w:topLinePunct w:val="0"/>
                    <w:bidi w:val="0"/>
                    <w:snapToGrid/>
                    <w:jc w:val="center"/>
                    <w:textAlignment w:val="auto"/>
                    <w:rPr>
                      <w:rFonts w:ascii="Times New Roman" w:hAnsi="Times New Roman"/>
                      <w:color w:val="FF0000"/>
                      <w:kern w:val="0"/>
                      <w:szCs w:val="21"/>
                    </w:rPr>
                  </w:pPr>
                  <w:r>
                    <w:rPr>
                      <w:rFonts w:ascii="Times New Roman" w:hAnsi="Times New Roman"/>
                      <w:color w:val="FF0000"/>
                      <w:kern w:val="0"/>
                      <w:szCs w:val="21"/>
                    </w:rPr>
                    <w:t>填方量（万m</w:t>
                  </w:r>
                  <w:r>
                    <w:rPr>
                      <w:rFonts w:ascii="Times New Roman" w:hAnsi="Times New Roman"/>
                      <w:color w:val="FF0000"/>
                      <w:kern w:val="0"/>
                      <w:szCs w:val="21"/>
                      <w:vertAlign w:val="superscript"/>
                    </w:rPr>
                    <w:t>3</w:t>
                  </w:r>
                  <w:r>
                    <w:rPr>
                      <w:rFonts w:ascii="Times New Roman" w:hAnsi="Times New Roman"/>
                      <w:color w:val="FF0000"/>
                      <w:kern w:val="0"/>
                      <w:szCs w:val="21"/>
                    </w:rPr>
                    <w:t>）</w:t>
                  </w:r>
                </w:p>
              </w:tc>
              <w:tc>
                <w:tcPr>
                  <w:tcW w:w="988" w:type="pct"/>
                  <w:tcBorders>
                    <w:tl2br w:val="nil"/>
                    <w:tr2bl w:val="nil"/>
                  </w:tcBorders>
                  <w:noWrap/>
                  <w:vAlign w:val="center"/>
                </w:tcPr>
                <w:p>
                  <w:pPr>
                    <w:keepNext w:val="0"/>
                    <w:keepLines w:val="0"/>
                    <w:pageBreakBefore w:val="0"/>
                    <w:widowControl/>
                    <w:kinsoku/>
                    <w:wordWrap/>
                    <w:overflowPunct/>
                    <w:topLinePunct w:val="0"/>
                    <w:bidi w:val="0"/>
                    <w:snapToGrid/>
                    <w:jc w:val="center"/>
                    <w:textAlignment w:val="auto"/>
                    <w:rPr>
                      <w:rFonts w:ascii="Times New Roman" w:hAnsi="Times New Roman"/>
                      <w:color w:val="FF0000"/>
                      <w:kern w:val="0"/>
                      <w:szCs w:val="21"/>
                    </w:rPr>
                  </w:pPr>
                  <w:r>
                    <w:rPr>
                      <w:rFonts w:ascii="Times New Roman" w:hAnsi="Times New Roman"/>
                      <w:color w:val="FF0000"/>
                      <w:kern w:val="0"/>
                      <w:szCs w:val="21"/>
                    </w:rPr>
                    <w:t>余方（万m</w:t>
                  </w:r>
                  <w:r>
                    <w:rPr>
                      <w:rFonts w:ascii="Times New Roman" w:hAnsi="Times New Roman"/>
                      <w:color w:val="FF0000"/>
                      <w:kern w:val="0"/>
                      <w:szCs w:val="21"/>
                      <w:vertAlign w:val="superscript"/>
                    </w:rPr>
                    <w:t>3</w:t>
                  </w:r>
                  <w:r>
                    <w:rPr>
                      <w:rFonts w:ascii="Times New Roman" w:hAnsi="Times New Roman"/>
                      <w:color w:val="FF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3" w:type="pct"/>
                  <w:tcBorders>
                    <w:tl2br w:val="nil"/>
                    <w:tr2bl w:val="nil"/>
                  </w:tcBorders>
                  <w:noWrap/>
                  <w:vAlign w:val="center"/>
                </w:tcPr>
                <w:p>
                  <w:pPr>
                    <w:keepNext w:val="0"/>
                    <w:keepLines w:val="0"/>
                    <w:pageBreakBefore w:val="0"/>
                    <w:widowControl/>
                    <w:kinsoku/>
                    <w:wordWrap/>
                    <w:overflowPunct/>
                    <w:topLinePunct w:val="0"/>
                    <w:bidi w:val="0"/>
                    <w:snapToGrid/>
                    <w:jc w:val="center"/>
                    <w:textAlignment w:val="auto"/>
                    <w:rPr>
                      <w:rFonts w:ascii="Times New Roman" w:hAnsi="Times New Roman"/>
                      <w:color w:val="FF0000"/>
                      <w:kern w:val="0"/>
                      <w:szCs w:val="21"/>
                    </w:rPr>
                  </w:pPr>
                  <w:r>
                    <w:rPr>
                      <w:rFonts w:ascii="Times New Roman" w:hAnsi="Times New Roman"/>
                      <w:color w:val="FF0000"/>
                      <w:kern w:val="0"/>
                      <w:szCs w:val="21"/>
                    </w:rPr>
                    <w:t>1</w:t>
                  </w:r>
                </w:p>
              </w:tc>
              <w:tc>
                <w:tcPr>
                  <w:tcW w:w="1430" w:type="pct"/>
                  <w:tcBorders>
                    <w:tl2br w:val="nil"/>
                    <w:tr2bl w:val="nil"/>
                  </w:tcBorders>
                  <w:noWrap/>
                  <w:vAlign w:val="center"/>
                </w:tcPr>
                <w:p>
                  <w:pPr>
                    <w:keepNext w:val="0"/>
                    <w:keepLines w:val="0"/>
                    <w:pageBreakBefore w:val="0"/>
                    <w:widowControl/>
                    <w:kinsoku/>
                    <w:wordWrap/>
                    <w:overflowPunct/>
                    <w:topLinePunct w:val="0"/>
                    <w:bidi w:val="0"/>
                    <w:snapToGrid/>
                    <w:jc w:val="center"/>
                    <w:textAlignment w:val="auto"/>
                    <w:rPr>
                      <w:rFonts w:ascii="Times New Roman" w:hAnsi="Times New Roman"/>
                      <w:color w:val="FF0000"/>
                      <w:kern w:val="0"/>
                      <w:szCs w:val="21"/>
                    </w:rPr>
                  </w:pPr>
                  <w:r>
                    <w:rPr>
                      <w:rFonts w:ascii="Times New Roman" w:hAnsi="Times New Roman"/>
                      <w:color w:val="FF0000"/>
                      <w:kern w:val="0"/>
                      <w:szCs w:val="21"/>
                    </w:rPr>
                    <w:t>风电机组及箱变施工区</w:t>
                  </w:r>
                </w:p>
              </w:tc>
              <w:tc>
                <w:tcPr>
                  <w:tcW w:w="1763" w:type="dxa"/>
                  <w:tcBorders>
                    <w:tl2br w:val="nil"/>
                    <w:tr2bl w:val="nil"/>
                  </w:tcBorders>
                  <w:noWrap/>
                  <w:vAlign w:val="center"/>
                </w:tcPr>
                <w:p>
                  <w:pPr>
                    <w:pStyle w:val="41"/>
                    <w:keepNext w:val="0"/>
                    <w:keepLines w:val="0"/>
                    <w:pageBreakBefore w:val="0"/>
                    <w:kinsoku/>
                    <w:wordWrap/>
                    <w:overflowPunct/>
                    <w:topLinePunct w:val="0"/>
                    <w:bidi w:val="0"/>
                    <w:snapToGrid/>
                    <w:spacing w:line="237" w:lineRule="exact"/>
                    <w:ind w:left="308" w:leftChars="0" w:right="256" w:rightChars="0"/>
                    <w:jc w:val="center"/>
                    <w:textAlignment w:val="auto"/>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1.07</w:t>
                  </w:r>
                </w:p>
              </w:tc>
              <w:tc>
                <w:tcPr>
                  <w:tcW w:w="1625" w:type="dxa"/>
                  <w:tcBorders>
                    <w:tl2br w:val="nil"/>
                    <w:tr2bl w:val="nil"/>
                  </w:tcBorders>
                  <w:noWrap/>
                  <w:vAlign w:val="center"/>
                </w:tcPr>
                <w:p>
                  <w:pPr>
                    <w:pStyle w:val="41"/>
                    <w:keepNext w:val="0"/>
                    <w:keepLines w:val="0"/>
                    <w:pageBreakBefore w:val="0"/>
                    <w:kinsoku/>
                    <w:wordWrap/>
                    <w:overflowPunct/>
                    <w:topLinePunct w:val="0"/>
                    <w:bidi w:val="0"/>
                    <w:snapToGrid/>
                    <w:spacing w:line="237" w:lineRule="exact"/>
                    <w:ind w:left="224" w:leftChars="0" w:right="175" w:rightChars="0"/>
                    <w:jc w:val="center"/>
                    <w:textAlignment w:val="auto"/>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1.11</w:t>
                  </w:r>
                </w:p>
              </w:tc>
              <w:tc>
                <w:tcPr>
                  <w:tcW w:w="1605" w:type="dxa"/>
                  <w:tcBorders>
                    <w:tl2br w:val="nil"/>
                    <w:tr2bl w:val="nil"/>
                  </w:tcBorders>
                  <w:noWrap/>
                  <w:vAlign w:val="center"/>
                </w:tcPr>
                <w:p>
                  <w:pPr>
                    <w:pStyle w:val="41"/>
                    <w:keepNext w:val="0"/>
                    <w:keepLines w:val="0"/>
                    <w:pageBreakBefore w:val="0"/>
                    <w:kinsoku/>
                    <w:wordWrap/>
                    <w:overflowPunct/>
                    <w:topLinePunct w:val="0"/>
                    <w:bidi w:val="0"/>
                    <w:snapToGrid/>
                    <w:spacing w:line="237" w:lineRule="exact"/>
                    <w:jc w:val="center"/>
                    <w:textAlignment w:val="auto"/>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93" w:type="pct"/>
                  <w:tcBorders>
                    <w:tl2br w:val="nil"/>
                    <w:tr2bl w:val="nil"/>
                  </w:tcBorders>
                  <w:noWrap/>
                  <w:vAlign w:val="center"/>
                </w:tcPr>
                <w:p>
                  <w:pPr>
                    <w:keepNext w:val="0"/>
                    <w:keepLines w:val="0"/>
                    <w:pageBreakBefore w:val="0"/>
                    <w:widowControl/>
                    <w:kinsoku/>
                    <w:wordWrap/>
                    <w:overflowPunct/>
                    <w:topLinePunct w:val="0"/>
                    <w:bidi w:val="0"/>
                    <w:snapToGrid/>
                    <w:jc w:val="center"/>
                    <w:textAlignment w:val="auto"/>
                    <w:rPr>
                      <w:rFonts w:ascii="Times New Roman" w:hAnsi="Times New Roman"/>
                      <w:color w:val="FF0000"/>
                      <w:kern w:val="0"/>
                      <w:szCs w:val="21"/>
                    </w:rPr>
                  </w:pPr>
                  <w:r>
                    <w:rPr>
                      <w:rFonts w:ascii="Times New Roman" w:hAnsi="Times New Roman"/>
                      <w:color w:val="FF0000"/>
                      <w:kern w:val="0"/>
                      <w:szCs w:val="21"/>
                    </w:rPr>
                    <w:t>2</w:t>
                  </w:r>
                </w:p>
              </w:tc>
              <w:tc>
                <w:tcPr>
                  <w:tcW w:w="1430" w:type="pct"/>
                  <w:tcBorders>
                    <w:tl2br w:val="nil"/>
                    <w:tr2bl w:val="nil"/>
                  </w:tcBorders>
                  <w:noWrap/>
                  <w:vAlign w:val="center"/>
                </w:tcPr>
                <w:p>
                  <w:pPr>
                    <w:keepNext w:val="0"/>
                    <w:keepLines w:val="0"/>
                    <w:pageBreakBefore w:val="0"/>
                    <w:widowControl/>
                    <w:kinsoku/>
                    <w:wordWrap/>
                    <w:overflowPunct/>
                    <w:topLinePunct w:val="0"/>
                    <w:bidi w:val="0"/>
                    <w:snapToGrid/>
                    <w:jc w:val="center"/>
                    <w:textAlignment w:val="auto"/>
                    <w:rPr>
                      <w:rFonts w:ascii="Times New Roman" w:hAnsi="Times New Roman"/>
                      <w:color w:val="FF0000"/>
                      <w:kern w:val="0"/>
                      <w:szCs w:val="21"/>
                    </w:rPr>
                  </w:pPr>
                  <w:r>
                    <w:rPr>
                      <w:rFonts w:hint="eastAsia"/>
                      <w:color w:val="FF0000"/>
                      <w:kern w:val="0"/>
                      <w:szCs w:val="21"/>
                      <w:lang w:val="en-US" w:eastAsia="zh-CN"/>
                    </w:rPr>
                    <w:t>35kV开关站</w:t>
                  </w:r>
                </w:p>
              </w:tc>
              <w:tc>
                <w:tcPr>
                  <w:tcW w:w="1763" w:type="dxa"/>
                  <w:tcBorders>
                    <w:tl2br w:val="nil"/>
                    <w:tr2bl w:val="nil"/>
                  </w:tcBorders>
                  <w:noWrap/>
                  <w:vAlign w:val="center"/>
                </w:tcPr>
                <w:p>
                  <w:pPr>
                    <w:pStyle w:val="41"/>
                    <w:keepNext w:val="0"/>
                    <w:keepLines w:val="0"/>
                    <w:pageBreakBefore w:val="0"/>
                    <w:kinsoku/>
                    <w:wordWrap/>
                    <w:overflowPunct/>
                    <w:topLinePunct w:val="0"/>
                    <w:bidi w:val="0"/>
                    <w:snapToGrid/>
                    <w:spacing w:line="235" w:lineRule="exact"/>
                    <w:ind w:left="308" w:leftChars="0" w:right="256" w:rightChars="0"/>
                    <w:jc w:val="center"/>
                    <w:textAlignment w:val="auto"/>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0.16</w:t>
                  </w:r>
                </w:p>
              </w:tc>
              <w:tc>
                <w:tcPr>
                  <w:tcW w:w="1625" w:type="dxa"/>
                  <w:tcBorders>
                    <w:tl2br w:val="nil"/>
                    <w:tr2bl w:val="nil"/>
                  </w:tcBorders>
                  <w:noWrap/>
                  <w:vAlign w:val="center"/>
                </w:tcPr>
                <w:p>
                  <w:pPr>
                    <w:pStyle w:val="41"/>
                    <w:keepNext w:val="0"/>
                    <w:keepLines w:val="0"/>
                    <w:pageBreakBefore w:val="0"/>
                    <w:kinsoku/>
                    <w:wordWrap/>
                    <w:overflowPunct/>
                    <w:topLinePunct w:val="0"/>
                    <w:bidi w:val="0"/>
                    <w:snapToGrid/>
                    <w:spacing w:line="235" w:lineRule="exact"/>
                    <w:ind w:left="224" w:leftChars="0" w:right="175" w:rightChars="0"/>
                    <w:jc w:val="center"/>
                    <w:textAlignment w:val="auto"/>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0.12</w:t>
                  </w:r>
                </w:p>
              </w:tc>
              <w:tc>
                <w:tcPr>
                  <w:tcW w:w="1605" w:type="dxa"/>
                  <w:tcBorders>
                    <w:tl2br w:val="nil"/>
                    <w:tr2bl w:val="nil"/>
                  </w:tcBorders>
                  <w:noWrap/>
                  <w:vAlign w:val="center"/>
                </w:tcPr>
                <w:p>
                  <w:pPr>
                    <w:pStyle w:val="41"/>
                    <w:keepNext w:val="0"/>
                    <w:keepLines w:val="0"/>
                    <w:pageBreakBefore w:val="0"/>
                    <w:kinsoku/>
                    <w:wordWrap/>
                    <w:overflowPunct/>
                    <w:topLinePunct w:val="0"/>
                    <w:bidi w:val="0"/>
                    <w:snapToGrid/>
                    <w:spacing w:line="235" w:lineRule="exact"/>
                    <w:jc w:val="center"/>
                    <w:textAlignment w:val="auto"/>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93" w:type="pct"/>
                  <w:tcBorders>
                    <w:tl2br w:val="nil"/>
                    <w:tr2bl w:val="nil"/>
                  </w:tcBorders>
                  <w:noWrap/>
                  <w:vAlign w:val="center"/>
                </w:tcPr>
                <w:p>
                  <w:pPr>
                    <w:keepNext w:val="0"/>
                    <w:keepLines w:val="0"/>
                    <w:pageBreakBefore w:val="0"/>
                    <w:widowControl/>
                    <w:kinsoku/>
                    <w:wordWrap/>
                    <w:overflowPunct/>
                    <w:topLinePunct w:val="0"/>
                    <w:bidi w:val="0"/>
                    <w:snapToGrid/>
                    <w:jc w:val="center"/>
                    <w:textAlignment w:val="auto"/>
                    <w:rPr>
                      <w:rFonts w:ascii="Times New Roman" w:hAnsi="Times New Roman"/>
                      <w:color w:val="FF0000"/>
                      <w:kern w:val="0"/>
                      <w:szCs w:val="21"/>
                    </w:rPr>
                  </w:pPr>
                  <w:r>
                    <w:rPr>
                      <w:rFonts w:ascii="Times New Roman" w:hAnsi="Times New Roman"/>
                      <w:color w:val="FF0000"/>
                      <w:kern w:val="0"/>
                      <w:szCs w:val="21"/>
                    </w:rPr>
                    <w:t>3</w:t>
                  </w:r>
                </w:p>
              </w:tc>
              <w:tc>
                <w:tcPr>
                  <w:tcW w:w="1430" w:type="pct"/>
                  <w:tcBorders>
                    <w:tl2br w:val="nil"/>
                    <w:tr2bl w:val="nil"/>
                  </w:tcBorders>
                  <w:noWrap/>
                  <w:vAlign w:val="center"/>
                </w:tcPr>
                <w:p>
                  <w:pPr>
                    <w:keepNext w:val="0"/>
                    <w:keepLines w:val="0"/>
                    <w:pageBreakBefore w:val="0"/>
                    <w:widowControl/>
                    <w:kinsoku/>
                    <w:wordWrap/>
                    <w:overflowPunct/>
                    <w:topLinePunct w:val="0"/>
                    <w:bidi w:val="0"/>
                    <w:snapToGrid/>
                    <w:jc w:val="center"/>
                    <w:textAlignment w:val="auto"/>
                    <w:rPr>
                      <w:rFonts w:ascii="Times New Roman" w:hAnsi="Times New Roman"/>
                      <w:color w:val="FF0000"/>
                      <w:kern w:val="0"/>
                      <w:szCs w:val="21"/>
                    </w:rPr>
                  </w:pPr>
                  <w:r>
                    <w:rPr>
                      <w:rFonts w:ascii="Times New Roman" w:hAnsi="Times New Roman"/>
                      <w:color w:val="FF0000"/>
                      <w:kern w:val="0"/>
                      <w:szCs w:val="21"/>
                    </w:rPr>
                    <w:t>道路工程</w:t>
                  </w:r>
                </w:p>
              </w:tc>
              <w:tc>
                <w:tcPr>
                  <w:tcW w:w="1763" w:type="dxa"/>
                  <w:tcBorders>
                    <w:tl2br w:val="nil"/>
                    <w:tr2bl w:val="nil"/>
                  </w:tcBorders>
                  <w:noWrap/>
                  <w:vAlign w:val="center"/>
                </w:tcPr>
                <w:p>
                  <w:pPr>
                    <w:pStyle w:val="41"/>
                    <w:keepNext w:val="0"/>
                    <w:keepLines w:val="0"/>
                    <w:pageBreakBefore w:val="0"/>
                    <w:kinsoku/>
                    <w:wordWrap/>
                    <w:overflowPunct/>
                    <w:topLinePunct w:val="0"/>
                    <w:bidi w:val="0"/>
                    <w:snapToGrid/>
                    <w:spacing w:line="235" w:lineRule="exact"/>
                    <w:ind w:left="308" w:leftChars="0" w:right="256" w:rightChars="0"/>
                    <w:jc w:val="center"/>
                    <w:textAlignment w:val="auto"/>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0.67</w:t>
                  </w:r>
                </w:p>
              </w:tc>
              <w:tc>
                <w:tcPr>
                  <w:tcW w:w="1625" w:type="dxa"/>
                  <w:tcBorders>
                    <w:tl2br w:val="nil"/>
                    <w:tr2bl w:val="nil"/>
                  </w:tcBorders>
                  <w:noWrap/>
                  <w:vAlign w:val="center"/>
                </w:tcPr>
                <w:p>
                  <w:pPr>
                    <w:pStyle w:val="41"/>
                    <w:keepNext w:val="0"/>
                    <w:keepLines w:val="0"/>
                    <w:pageBreakBefore w:val="0"/>
                    <w:kinsoku/>
                    <w:wordWrap/>
                    <w:overflowPunct/>
                    <w:topLinePunct w:val="0"/>
                    <w:bidi w:val="0"/>
                    <w:snapToGrid/>
                    <w:spacing w:line="235" w:lineRule="exact"/>
                    <w:ind w:left="224" w:leftChars="0" w:right="175" w:rightChars="0"/>
                    <w:jc w:val="center"/>
                    <w:textAlignment w:val="auto"/>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0.67</w:t>
                  </w:r>
                </w:p>
              </w:tc>
              <w:tc>
                <w:tcPr>
                  <w:tcW w:w="1605" w:type="dxa"/>
                  <w:tcBorders>
                    <w:tl2br w:val="nil"/>
                    <w:tr2bl w:val="nil"/>
                  </w:tcBorders>
                  <w:noWrap/>
                  <w:vAlign w:val="center"/>
                </w:tcPr>
                <w:p>
                  <w:pPr>
                    <w:pStyle w:val="41"/>
                    <w:keepNext w:val="0"/>
                    <w:keepLines w:val="0"/>
                    <w:pageBreakBefore w:val="0"/>
                    <w:kinsoku/>
                    <w:wordWrap/>
                    <w:overflowPunct/>
                    <w:topLinePunct w:val="0"/>
                    <w:bidi w:val="0"/>
                    <w:snapToGrid/>
                    <w:spacing w:line="235" w:lineRule="exact"/>
                    <w:jc w:val="center"/>
                    <w:textAlignment w:val="auto"/>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3" w:type="pct"/>
                  <w:tcBorders>
                    <w:tl2br w:val="nil"/>
                    <w:tr2bl w:val="nil"/>
                  </w:tcBorders>
                  <w:noWrap/>
                  <w:vAlign w:val="center"/>
                </w:tcPr>
                <w:p>
                  <w:pPr>
                    <w:keepNext w:val="0"/>
                    <w:keepLines w:val="0"/>
                    <w:pageBreakBefore w:val="0"/>
                    <w:widowControl/>
                    <w:kinsoku/>
                    <w:wordWrap/>
                    <w:overflowPunct/>
                    <w:topLinePunct w:val="0"/>
                    <w:bidi w:val="0"/>
                    <w:snapToGrid/>
                    <w:jc w:val="center"/>
                    <w:textAlignment w:val="auto"/>
                    <w:rPr>
                      <w:rFonts w:ascii="Times New Roman" w:hAnsi="Times New Roman"/>
                      <w:color w:val="FF0000"/>
                      <w:kern w:val="0"/>
                      <w:szCs w:val="21"/>
                    </w:rPr>
                  </w:pPr>
                  <w:r>
                    <w:rPr>
                      <w:rFonts w:ascii="Times New Roman" w:hAnsi="Times New Roman"/>
                      <w:color w:val="FF0000"/>
                      <w:kern w:val="0"/>
                      <w:szCs w:val="21"/>
                    </w:rPr>
                    <w:t>4</w:t>
                  </w:r>
                </w:p>
              </w:tc>
              <w:tc>
                <w:tcPr>
                  <w:tcW w:w="1430" w:type="pct"/>
                  <w:tcBorders>
                    <w:tl2br w:val="nil"/>
                    <w:tr2bl w:val="nil"/>
                  </w:tcBorders>
                  <w:noWrap/>
                  <w:vAlign w:val="center"/>
                </w:tcPr>
                <w:p>
                  <w:pPr>
                    <w:keepNext w:val="0"/>
                    <w:keepLines w:val="0"/>
                    <w:pageBreakBefore w:val="0"/>
                    <w:widowControl/>
                    <w:kinsoku/>
                    <w:wordWrap/>
                    <w:overflowPunct/>
                    <w:topLinePunct w:val="0"/>
                    <w:bidi w:val="0"/>
                    <w:snapToGrid/>
                    <w:jc w:val="center"/>
                    <w:textAlignment w:val="auto"/>
                    <w:rPr>
                      <w:rFonts w:ascii="Times New Roman" w:hAnsi="Times New Roman"/>
                      <w:color w:val="FF0000"/>
                      <w:kern w:val="0"/>
                      <w:szCs w:val="21"/>
                    </w:rPr>
                  </w:pPr>
                  <w:r>
                    <w:rPr>
                      <w:rFonts w:ascii="Times New Roman" w:hAnsi="Times New Roman"/>
                      <w:color w:val="FF0000"/>
                      <w:kern w:val="0"/>
                      <w:szCs w:val="21"/>
                    </w:rPr>
                    <w:t>输电线路工程</w:t>
                  </w:r>
                </w:p>
              </w:tc>
              <w:tc>
                <w:tcPr>
                  <w:tcW w:w="1763" w:type="dxa"/>
                  <w:tcBorders>
                    <w:tl2br w:val="nil"/>
                    <w:tr2bl w:val="nil"/>
                  </w:tcBorders>
                  <w:noWrap/>
                  <w:vAlign w:val="center"/>
                </w:tcPr>
                <w:p>
                  <w:pPr>
                    <w:pStyle w:val="41"/>
                    <w:keepNext w:val="0"/>
                    <w:keepLines w:val="0"/>
                    <w:pageBreakBefore w:val="0"/>
                    <w:kinsoku/>
                    <w:wordWrap/>
                    <w:overflowPunct/>
                    <w:topLinePunct w:val="0"/>
                    <w:bidi w:val="0"/>
                    <w:snapToGrid/>
                    <w:spacing w:line="235" w:lineRule="exact"/>
                    <w:ind w:left="308" w:leftChars="0" w:right="256" w:rightChars="0"/>
                    <w:jc w:val="center"/>
                    <w:textAlignment w:val="auto"/>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1.11</w:t>
                  </w:r>
                </w:p>
              </w:tc>
              <w:tc>
                <w:tcPr>
                  <w:tcW w:w="1625" w:type="dxa"/>
                  <w:tcBorders>
                    <w:tl2br w:val="nil"/>
                    <w:tr2bl w:val="nil"/>
                  </w:tcBorders>
                  <w:noWrap/>
                  <w:vAlign w:val="center"/>
                </w:tcPr>
                <w:p>
                  <w:pPr>
                    <w:pStyle w:val="41"/>
                    <w:keepNext w:val="0"/>
                    <w:keepLines w:val="0"/>
                    <w:pageBreakBefore w:val="0"/>
                    <w:kinsoku/>
                    <w:wordWrap/>
                    <w:overflowPunct/>
                    <w:topLinePunct w:val="0"/>
                    <w:bidi w:val="0"/>
                    <w:snapToGrid/>
                    <w:spacing w:line="235" w:lineRule="exact"/>
                    <w:ind w:left="229" w:leftChars="0" w:right="175" w:rightChars="0"/>
                    <w:jc w:val="center"/>
                    <w:textAlignment w:val="auto"/>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1.11</w:t>
                  </w:r>
                </w:p>
              </w:tc>
              <w:tc>
                <w:tcPr>
                  <w:tcW w:w="1605" w:type="dxa"/>
                  <w:tcBorders>
                    <w:tl2br w:val="nil"/>
                    <w:tr2bl w:val="nil"/>
                  </w:tcBorders>
                  <w:noWrap/>
                  <w:vAlign w:val="center"/>
                </w:tcPr>
                <w:p>
                  <w:pPr>
                    <w:pStyle w:val="41"/>
                    <w:keepNext w:val="0"/>
                    <w:keepLines w:val="0"/>
                    <w:pageBreakBefore w:val="0"/>
                    <w:kinsoku/>
                    <w:wordWrap/>
                    <w:overflowPunct/>
                    <w:topLinePunct w:val="0"/>
                    <w:bidi w:val="0"/>
                    <w:snapToGrid/>
                    <w:spacing w:line="235" w:lineRule="exact"/>
                    <w:jc w:val="center"/>
                    <w:textAlignment w:val="auto"/>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3" w:type="pct"/>
                  <w:tcBorders>
                    <w:tl2br w:val="nil"/>
                    <w:tr2bl w:val="nil"/>
                  </w:tcBorders>
                  <w:noWrap/>
                  <w:vAlign w:val="center"/>
                </w:tcPr>
                <w:p>
                  <w:pPr>
                    <w:keepNext w:val="0"/>
                    <w:keepLines w:val="0"/>
                    <w:pageBreakBefore w:val="0"/>
                    <w:widowControl/>
                    <w:kinsoku/>
                    <w:wordWrap/>
                    <w:overflowPunct/>
                    <w:topLinePunct w:val="0"/>
                    <w:bidi w:val="0"/>
                    <w:snapToGrid/>
                    <w:jc w:val="center"/>
                    <w:textAlignment w:val="auto"/>
                    <w:rPr>
                      <w:rFonts w:ascii="Times New Roman" w:hAnsi="Times New Roman"/>
                      <w:color w:val="FF0000"/>
                      <w:kern w:val="0"/>
                      <w:szCs w:val="21"/>
                    </w:rPr>
                  </w:pPr>
                  <w:r>
                    <w:rPr>
                      <w:rFonts w:ascii="Times New Roman" w:hAnsi="Times New Roman"/>
                      <w:color w:val="FF0000"/>
                      <w:kern w:val="0"/>
                      <w:szCs w:val="21"/>
                    </w:rPr>
                    <w:t>5</w:t>
                  </w:r>
                </w:p>
              </w:tc>
              <w:tc>
                <w:tcPr>
                  <w:tcW w:w="1430" w:type="pct"/>
                  <w:tcBorders>
                    <w:tl2br w:val="nil"/>
                    <w:tr2bl w:val="nil"/>
                  </w:tcBorders>
                  <w:noWrap/>
                  <w:vAlign w:val="center"/>
                </w:tcPr>
                <w:p>
                  <w:pPr>
                    <w:keepNext w:val="0"/>
                    <w:keepLines w:val="0"/>
                    <w:pageBreakBefore w:val="0"/>
                    <w:widowControl/>
                    <w:kinsoku/>
                    <w:wordWrap/>
                    <w:overflowPunct/>
                    <w:topLinePunct w:val="0"/>
                    <w:bidi w:val="0"/>
                    <w:snapToGrid/>
                    <w:jc w:val="center"/>
                    <w:textAlignment w:val="auto"/>
                    <w:rPr>
                      <w:rFonts w:ascii="Times New Roman" w:hAnsi="Times New Roman"/>
                      <w:color w:val="FF0000"/>
                      <w:kern w:val="0"/>
                      <w:szCs w:val="21"/>
                    </w:rPr>
                  </w:pPr>
                  <w:r>
                    <w:rPr>
                      <w:rFonts w:ascii="Times New Roman" w:hAnsi="Times New Roman"/>
                      <w:color w:val="FF0000"/>
                      <w:kern w:val="0"/>
                      <w:szCs w:val="21"/>
                    </w:rPr>
                    <w:t>合计</w:t>
                  </w:r>
                </w:p>
              </w:tc>
              <w:tc>
                <w:tcPr>
                  <w:tcW w:w="1763" w:type="dxa"/>
                  <w:tcBorders>
                    <w:tl2br w:val="nil"/>
                    <w:tr2bl w:val="nil"/>
                  </w:tcBorders>
                  <w:noWrap/>
                  <w:vAlign w:val="center"/>
                </w:tcPr>
                <w:p>
                  <w:pPr>
                    <w:pStyle w:val="41"/>
                    <w:keepNext w:val="0"/>
                    <w:keepLines w:val="0"/>
                    <w:pageBreakBefore w:val="0"/>
                    <w:kinsoku/>
                    <w:wordWrap/>
                    <w:overflowPunct/>
                    <w:topLinePunct w:val="0"/>
                    <w:bidi w:val="0"/>
                    <w:snapToGrid/>
                    <w:spacing w:line="235" w:lineRule="exact"/>
                    <w:ind w:left="308" w:leftChars="0" w:right="256" w:rightChars="0"/>
                    <w:jc w:val="center"/>
                    <w:textAlignment w:val="auto"/>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3.01</w:t>
                  </w:r>
                </w:p>
              </w:tc>
              <w:tc>
                <w:tcPr>
                  <w:tcW w:w="1625" w:type="dxa"/>
                  <w:tcBorders>
                    <w:tl2br w:val="nil"/>
                    <w:tr2bl w:val="nil"/>
                  </w:tcBorders>
                  <w:noWrap/>
                  <w:vAlign w:val="center"/>
                </w:tcPr>
                <w:p>
                  <w:pPr>
                    <w:pStyle w:val="41"/>
                    <w:keepNext w:val="0"/>
                    <w:keepLines w:val="0"/>
                    <w:pageBreakBefore w:val="0"/>
                    <w:kinsoku/>
                    <w:wordWrap/>
                    <w:overflowPunct/>
                    <w:topLinePunct w:val="0"/>
                    <w:bidi w:val="0"/>
                    <w:snapToGrid/>
                    <w:spacing w:line="235" w:lineRule="exact"/>
                    <w:ind w:left="224" w:leftChars="0" w:right="175" w:rightChars="0"/>
                    <w:jc w:val="center"/>
                    <w:textAlignment w:val="auto"/>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3.01</w:t>
                  </w:r>
                </w:p>
              </w:tc>
              <w:tc>
                <w:tcPr>
                  <w:tcW w:w="1605" w:type="dxa"/>
                  <w:tcBorders>
                    <w:tl2br w:val="nil"/>
                    <w:tr2bl w:val="nil"/>
                  </w:tcBorders>
                  <w:noWrap/>
                  <w:vAlign w:val="center"/>
                </w:tcPr>
                <w:p>
                  <w:pPr>
                    <w:pStyle w:val="41"/>
                    <w:keepNext w:val="0"/>
                    <w:keepLines w:val="0"/>
                    <w:pageBreakBefore w:val="0"/>
                    <w:kinsoku/>
                    <w:wordWrap/>
                    <w:overflowPunct/>
                    <w:topLinePunct w:val="0"/>
                    <w:bidi w:val="0"/>
                    <w:snapToGrid/>
                    <w:spacing w:line="235" w:lineRule="exact"/>
                    <w:jc w:val="center"/>
                    <w:textAlignment w:val="auto"/>
                    <w:rPr>
                      <w:rFonts w:hint="default" w:ascii="Times New Roman" w:hAnsi="Times New Roman" w:eastAsia="宋体"/>
                      <w:color w:val="FF0000"/>
                      <w:szCs w:val="21"/>
                      <w:lang w:val="en-US" w:eastAsia="zh-CN"/>
                    </w:rPr>
                  </w:pPr>
                  <w:r>
                    <w:rPr>
                      <w:rFonts w:hint="eastAsia" w:ascii="Times New Roman" w:hAnsi="Times New Roman"/>
                      <w:color w:val="FF0000"/>
                      <w:szCs w:val="21"/>
                      <w:lang w:val="en-US" w:eastAsia="zh-CN"/>
                    </w:rPr>
                    <w:t>/</w:t>
                  </w:r>
                </w:p>
              </w:tc>
            </w:tr>
          </w:tbl>
          <w:p>
            <w:pPr>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（2）生活垃圾</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施工人员产生的生活垃圾</w:t>
            </w:r>
            <w:r>
              <w:rPr>
                <w:rFonts w:ascii="Times New Roman" w:hAnsi="Times New Roman"/>
                <w:color w:val="000000" w:themeColor="text1"/>
                <w:sz w:val="23"/>
                <w14:textFill>
                  <w14:solidFill>
                    <w14:schemeClr w14:val="tx1"/>
                  </w14:solidFill>
                </w14:textFill>
              </w:rPr>
              <w:t>由垃圾桶集中收集后，定期拉运到镇上垃圾收集点，由环卫部门统一处理。</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综上所述，施工期产生的固体废物经妥善处理后，对环境影响不大。</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5</w:t>
            </w:r>
            <w:r>
              <w:rPr>
                <w:rFonts w:hint="eastAsia"/>
                <w:b/>
                <w:bCs/>
                <w:color w:val="000000" w:themeColor="text1"/>
                <w:sz w:val="24"/>
                <w:lang w:eastAsia="zh-CN"/>
                <w14:textFill>
                  <w14:solidFill>
                    <w14:schemeClr w14:val="tx1"/>
                  </w14:solidFill>
                </w14:textFill>
              </w:rPr>
              <w:t>）</w:t>
            </w:r>
            <w:r>
              <w:rPr>
                <w:rFonts w:ascii="Times New Roman" w:hAnsi="Times New Roman"/>
                <w:b/>
                <w:bCs/>
                <w:color w:val="000000" w:themeColor="text1"/>
                <w:sz w:val="24"/>
                <w14:textFill>
                  <w14:solidFill>
                    <w14:schemeClr w14:val="tx1"/>
                  </w14:solidFill>
                </w14:textFill>
              </w:rPr>
              <w:t>生态影响分析</w:t>
            </w:r>
          </w:p>
          <w:p>
            <w:pPr>
              <w:keepNext w:val="0"/>
              <w:keepLines w:val="0"/>
              <w:pageBreakBefore w:val="0"/>
              <w:kinsoku/>
              <w:wordWrap/>
              <w:overflowPunct/>
              <w:topLinePunct w:val="0"/>
              <w:bidi w:val="0"/>
              <w:snapToGrid/>
              <w:spacing w:line="360" w:lineRule="auto"/>
              <w:ind w:firstLine="420"/>
              <w:textAlignment w:val="auto"/>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本项目施工过程中工程占地、土方开挖、场地和道路平整以及施工活动等对项目周边生态环境产生一定的影响</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主要表现在对土地、植被、土壤以及野生动物的影响。</w:t>
            </w:r>
          </w:p>
          <w:p>
            <w:pPr>
              <w:keepNext w:val="0"/>
              <w:keepLines w:val="0"/>
              <w:pageBreakBefore w:val="0"/>
              <w:kinsoku/>
              <w:wordWrap/>
              <w:overflowPunct/>
              <w:topLinePunct w:val="0"/>
              <w:bidi w:val="0"/>
              <w:snapToGrid/>
              <w:spacing w:line="360" w:lineRule="auto"/>
              <w:ind w:firstLine="420"/>
              <w:textAlignment w:val="auto"/>
              <w:rPr>
                <w:rFonts w:hint="default" w:ascii="Times New Roman" w:hAnsi="Times New Roman"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①占地影响分析</w:t>
            </w:r>
          </w:p>
          <w:p>
            <w:pPr>
              <w:keepNext w:val="0"/>
              <w:keepLines w:val="0"/>
              <w:pageBreakBefore w:val="0"/>
              <w:kinsoku/>
              <w:wordWrap/>
              <w:overflowPunct/>
              <w:topLinePunct w:val="0"/>
              <w:bidi w:val="0"/>
              <w:snapToGrid/>
              <w:spacing w:line="360" w:lineRule="auto"/>
              <w:ind w:firstLine="420"/>
              <w:textAlignment w:val="auto"/>
              <w:rPr>
                <w:rFonts w:hint="default"/>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本项目总占地</w:t>
            </w:r>
            <w:r>
              <w:rPr>
                <w:rFonts w:hint="eastAsia" w:ascii="Times New Roman" w:hAnsi="Times New Roman"/>
                <w:color w:val="000000" w:themeColor="text1"/>
                <w:sz w:val="24"/>
                <w:lang w:val="en-US" w:eastAsia="zh-CN"/>
                <w14:textFill>
                  <w14:solidFill>
                    <w14:schemeClr w14:val="tx1"/>
                  </w14:solidFill>
                </w14:textFill>
              </w:rPr>
              <w:t>3.9253</w:t>
            </w:r>
            <w:r>
              <w:rPr>
                <w:rFonts w:ascii="Times New Roman" w:hAnsi="Times New Roman"/>
                <w:color w:val="000000" w:themeColor="text1"/>
                <w:sz w:val="24"/>
                <w:szCs w:val="24"/>
                <w14:textFill>
                  <w14:solidFill>
                    <w14:schemeClr w14:val="tx1"/>
                  </w14:solidFill>
                </w14:textFill>
              </w:rPr>
              <w:t>hm</w:t>
            </w:r>
            <w:r>
              <w:rPr>
                <w:rFonts w:ascii="Times New Roman" w:hAnsi="Times New Roman"/>
                <w:color w:val="000000" w:themeColor="text1"/>
                <w:sz w:val="24"/>
                <w:szCs w:val="24"/>
                <w:vertAlign w:val="super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，其中</w:t>
            </w:r>
            <w:r>
              <w:rPr>
                <w:rFonts w:ascii="Times New Roman" w:hAnsi="Times New Roman"/>
                <w:color w:val="000000" w:themeColor="text1"/>
                <w:sz w:val="24"/>
                <w14:textFill>
                  <w14:solidFill>
                    <w14:schemeClr w14:val="tx1"/>
                  </w14:solidFill>
                </w14:textFill>
              </w:rPr>
              <w:t>永久占地</w:t>
            </w:r>
            <w:r>
              <w:rPr>
                <w:rFonts w:hint="eastAsia" w:ascii="Times New Roman" w:hAnsi="Times New Roman"/>
                <w:color w:val="000000" w:themeColor="text1"/>
                <w:sz w:val="24"/>
                <w:lang w:val="en-US" w:eastAsia="zh-CN"/>
                <w14:textFill>
                  <w14:solidFill>
                    <w14:schemeClr w14:val="tx1"/>
                  </w14:solidFill>
                </w14:textFill>
              </w:rPr>
              <w:t>0.</w:t>
            </w:r>
            <w:r>
              <w:rPr>
                <w:rFonts w:hint="eastAsia"/>
                <w:color w:val="000000" w:themeColor="text1"/>
                <w:sz w:val="24"/>
                <w:lang w:val="en-US" w:eastAsia="zh-CN"/>
                <w14:textFill>
                  <w14:solidFill>
                    <w14:schemeClr w14:val="tx1"/>
                  </w14:solidFill>
                </w14:textFill>
              </w:rPr>
              <w:t>7228</w:t>
            </w:r>
            <w:r>
              <w:rPr>
                <w:rFonts w:ascii="Times New Roman" w:hAnsi="Times New Roman"/>
                <w:color w:val="000000" w:themeColor="text1"/>
                <w:sz w:val="24"/>
                <w:szCs w:val="24"/>
                <w14:textFill>
                  <w14:solidFill>
                    <w14:schemeClr w14:val="tx1"/>
                  </w14:solidFill>
                </w14:textFill>
              </w:rPr>
              <w:t>hm</w:t>
            </w:r>
            <w:r>
              <w:rPr>
                <w:rFonts w:ascii="Times New Roman" w:hAnsi="Times New Roman"/>
                <w:color w:val="000000" w:themeColor="text1"/>
                <w:sz w:val="24"/>
                <w:szCs w:val="24"/>
                <w:vertAlign w:val="super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，临时占地</w:t>
            </w:r>
            <w:r>
              <w:rPr>
                <w:rFonts w:hint="eastAsia" w:ascii="Times New Roman" w:hAnsi="Times New Roman"/>
                <w:color w:val="000000" w:themeColor="text1"/>
                <w:sz w:val="24"/>
                <w:szCs w:val="24"/>
                <w:lang w:val="en-US" w:eastAsia="zh-CN"/>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2025</w:t>
            </w:r>
            <w:r>
              <w:rPr>
                <w:rFonts w:ascii="Times New Roman" w:hAnsi="Times New Roman"/>
                <w:color w:val="000000" w:themeColor="text1"/>
                <w:sz w:val="24"/>
                <w:szCs w:val="24"/>
                <w14:textFill>
                  <w14:solidFill>
                    <w14:schemeClr w14:val="tx1"/>
                  </w14:solidFill>
                </w14:textFill>
              </w:rPr>
              <w:t>hm</w:t>
            </w:r>
            <w:r>
              <w:rPr>
                <w:rFonts w:ascii="Times New Roman" w:hAnsi="Times New Roman"/>
                <w:color w:val="000000" w:themeColor="text1"/>
                <w:sz w:val="24"/>
                <w:szCs w:val="24"/>
                <w:vertAlign w:val="superscript"/>
                <w14:textFill>
                  <w14:solidFill>
                    <w14:schemeClr w14:val="tx1"/>
                  </w14:solidFill>
                </w14:textFill>
              </w:rPr>
              <w:t>2</w:t>
            </w:r>
            <w:r>
              <w:rPr>
                <w:rFonts w:hint="eastAsia" w:ascii="Times New Roman" w:hAnsi="Times New Roman"/>
                <w:color w:val="000000" w:themeColor="text1"/>
                <w:sz w:val="24"/>
                <w:szCs w:val="24"/>
                <w:vertAlign w:val="baseline"/>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项目永久占地类型为</w:t>
            </w:r>
            <w:r>
              <w:rPr>
                <w:rFonts w:hint="eastAsia" w:ascii="Times New Roman" w:hAnsi="Times New Roman"/>
                <w:color w:val="000000" w:themeColor="text1"/>
                <w:sz w:val="24"/>
                <w:lang w:val="en-US" w:eastAsia="zh-CN"/>
                <w14:textFill>
                  <w14:solidFill>
                    <w14:schemeClr w14:val="tx1"/>
                  </w14:solidFill>
                </w14:textFill>
              </w:rPr>
              <w:t>一般农用地和自然保留地</w:t>
            </w:r>
            <w:r>
              <w:rPr>
                <w:rFonts w:ascii="Times New Roman" w:hAnsi="Times New Roman"/>
                <w:color w:val="000000" w:themeColor="text1"/>
                <w:sz w:val="24"/>
                <w14:textFill>
                  <w14:solidFill>
                    <w14:schemeClr w14:val="tx1"/>
                  </w14:solidFill>
                </w14:textFill>
              </w:rPr>
              <w:t>，施工结束后永久占地大部分为永久建筑物或硬化场地，转变为建设用地</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占用的耕地采用异地补偿的方式，确保有效耕地的数量</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临时占地占地类型为基本农田，采取土地复垦方案，对临时占地进行土地复垦，恢复原耕种条件，交由当地农民及时耕种；采取以上措施后施工占地环境影响较小。</w:t>
            </w:r>
          </w:p>
          <w:p>
            <w:pPr>
              <w:keepNext w:val="0"/>
              <w:keepLines w:val="0"/>
              <w:pageBreakBefore w:val="0"/>
              <w:kinsoku/>
              <w:wordWrap/>
              <w:overflowPunct/>
              <w:topLinePunct w:val="0"/>
              <w:bidi w:val="0"/>
              <w:snapToGrid/>
              <w:spacing w:line="360" w:lineRule="auto"/>
              <w:ind w:firstLine="420"/>
              <w:textAlignment w:val="auto"/>
              <w:rPr>
                <w:rFonts w:hint="default" w:ascii="Times New Roman" w:hAnsi="Times New Roman"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②植被的影响分析</w:t>
            </w:r>
          </w:p>
          <w:p>
            <w:pPr>
              <w:keepNext w:val="0"/>
              <w:keepLines w:val="0"/>
              <w:pageBreakBefore w:val="0"/>
              <w:kinsoku/>
              <w:wordWrap/>
              <w:overflowPunct/>
              <w:topLinePunct w:val="0"/>
              <w:bidi w:val="0"/>
              <w:adjustRightInd w:val="0"/>
              <w:snapToGrid/>
              <w:spacing w:line="360" w:lineRule="auto"/>
              <w:ind w:firstLine="480" w:firstLineChars="200"/>
              <w:jc w:val="left"/>
              <w:textAlignment w:val="auto"/>
              <w:rPr>
                <w:rFonts w:hint="eastAsia"/>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施工期对植被的影响主要体现在占地对地表植被破坏</w:t>
            </w:r>
            <w:r>
              <w:rPr>
                <w:rFonts w:hint="eastAsia"/>
                <w:color w:val="000000" w:themeColor="text1"/>
                <w:sz w:val="24"/>
                <w:szCs w:val="24"/>
                <w:lang w:val="en-US" w:eastAsia="zh-CN"/>
                <w14:textFill>
                  <w14:solidFill>
                    <w14:schemeClr w14:val="tx1"/>
                  </w14:solidFill>
                </w14:textFill>
              </w:rPr>
              <w:t>和</w:t>
            </w:r>
            <w:r>
              <w:rPr>
                <w:rFonts w:hint="eastAsia" w:ascii="Times New Roman" w:hAnsi="Times New Roman"/>
                <w:color w:val="000000" w:themeColor="text1"/>
                <w:sz w:val="24"/>
                <w:szCs w:val="24"/>
                <w:lang w:val="en-US" w:eastAsia="zh-CN"/>
                <w14:textFill>
                  <w14:solidFill>
                    <w14:schemeClr w14:val="tx1"/>
                  </w14:solidFill>
                </w14:textFill>
              </w:rPr>
              <w:t>生物量损失</w:t>
            </w:r>
            <w:r>
              <w:rPr>
                <w:rFonts w:hint="eastAsia"/>
                <w:color w:val="000000" w:themeColor="text1"/>
                <w:sz w:val="24"/>
                <w:szCs w:val="24"/>
                <w:lang w:val="en-US"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施工期占地</w:t>
            </w:r>
            <w:r>
              <w:rPr>
                <w:rFonts w:ascii="Times New Roman" w:hAnsi="Times New Roman"/>
                <w:color w:val="000000" w:themeColor="text1"/>
                <w:sz w:val="24"/>
                <w14:textFill>
                  <w14:solidFill>
                    <w14:schemeClr w14:val="tx1"/>
                  </w14:solidFill>
                </w14:textFill>
              </w:rPr>
              <w:t>范围</w:t>
            </w:r>
            <w:r>
              <w:rPr>
                <w:rFonts w:hint="eastAsia" w:ascii="Times New Roman" w:hAnsi="Times New Roman"/>
                <w:color w:val="000000" w:themeColor="text1"/>
                <w:sz w:val="24"/>
                <w:lang w:val="en-US" w:eastAsia="zh-CN"/>
                <w14:textFill>
                  <w14:solidFill>
                    <w14:schemeClr w14:val="tx1"/>
                  </w14:solidFill>
                </w14:textFill>
              </w:rPr>
              <w:t>内</w:t>
            </w:r>
            <w:r>
              <w:rPr>
                <w:rFonts w:ascii="Times New Roman" w:hAnsi="Times New Roman"/>
                <w:color w:val="000000" w:themeColor="text1"/>
                <w:sz w:val="24"/>
                <w14:textFill>
                  <w14:solidFill>
                    <w14:schemeClr w14:val="tx1"/>
                  </w14:solidFill>
                </w14:textFill>
              </w:rPr>
              <w:t>植被生物减少总量为</w:t>
            </w:r>
            <w:r>
              <w:rPr>
                <w:rFonts w:hint="eastAsia" w:ascii="Times New Roman" w:hAnsi="Times New Roman"/>
                <w:color w:val="000000" w:themeColor="text1"/>
                <w:sz w:val="24"/>
                <w:lang w:val="en-US" w:eastAsia="zh-CN"/>
                <w14:textFill>
                  <w14:solidFill>
                    <w14:schemeClr w14:val="tx1"/>
                  </w14:solidFill>
                </w14:textFill>
              </w:rPr>
              <w:t>37.14</w:t>
            </w:r>
            <w:r>
              <w:rPr>
                <w:rFonts w:ascii="Times New Roman" w:hAnsi="Times New Roman"/>
                <w:color w:val="000000" w:themeColor="text1"/>
                <w:sz w:val="24"/>
                <w14:textFill>
                  <w14:solidFill>
                    <w14:schemeClr w14:val="tx1"/>
                  </w14:solidFill>
                </w14:textFill>
              </w:rPr>
              <w:t>t。</w:t>
            </w:r>
            <w:r>
              <w:rPr>
                <w:rFonts w:ascii="Times New Roman" w:hAnsi="Times New Roman"/>
                <w:color w:val="000000" w:themeColor="text1"/>
                <w:sz w:val="24"/>
                <w:szCs w:val="24"/>
                <w14:textFill>
                  <w14:solidFill>
                    <w14:schemeClr w14:val="tx1"/>
                  </w14:solidFill>
                </w14:textFill>
              </w:rPr>
              <w:t>水久占地内的植被破坏一般是不可逆的，临时占地内的植被破坏具有暂时性，施工结束后，周围植物可侵入，开始恢复演替</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同时</w:t>
            </w:r>
            <w:r>
              <w:rPr>
                <w:rFonts w:ascii="Times New Roman" w:hAnsi="Times New Roman"/>
                <w:color w:val="000000" w:themeColor="text1"/>
                <w:sz w:val="24"/>
                <w:szCs w:val="24"/>
                <w14:textFill>
                  <w14:solidFill>
                    <w14:schemeClr w14:val="tx1"/>
                  </w14:solidFill>
                </w14:textFill>
              </w:rPr>
              <w:t>对</w:t>
            </w:r>
            <w:r>
              <w:rPr>
                <w:rFonts w:hint="eastAsia"/>
                <w:color w:val="000000" w:themeColor="text1"/>
                <w:sz w:val="24"/>
                <w:szCs w:val="24"/>
                <w:lang w:val="en-US" w:eastAsia="zh-CN"/>
                <w14:textFill>
                  <w14:solidFill>
                    <w14:schemeClr w14:val="tx1"/>
                  </w14:solidFill>
                </w14:textFill>
              </w:rPr>
              <w:t>临时</w:t>
            </w:r>
            <w:r>
              <w:rPr>
                <w:rFonts w:ascii="Times New Roman" w:hAnsi="Times New Roman"/>
                <w:color w:val="000000" w:themeColor="text1"/>
                <w:sz w:val="24"/>
                <w14:textFill>
                  <w14:solidFill>
                    <w14:schemeClr w14:val="tx1"/>
                  </w14:solidFill>
                </w14:textFill>
              </w:rPr>
              <w:t>占用的农田，应进行异地划拨或经济补偿，</w:t>
            </w:r>
            <w:r>
              <w:rPr>
                <w:rFonts w:hint="eastAsia"/>
                <w:color w:val="000000" w:themeColor="text1"/>
                <w:sz w:val="24"/>
                <w:lang w:val="en-US" w:eastAsia="zh-CN"/>
                <w14:textFill>
                  <w14:solidFill>
                    <w14:schemeClr w14:val="tx1"/>
                  </w14:solidFill>
                </w14:textFill>
              </w:rPr>
              <w:t>施工完成后</w:t>
            </w:r>
            <w:r>
              <w:rPr>
                <w:rFonts w:ascii="Times New Roman" w:hAnsi="Times New Roman"/>
                <w:color w:val="000000" w:themeColor="text1"/>
                <w:sz w:val="24"/>
                <w:szCs w:val="24"/>
                <w14:textFill>
                  <w14:solidFill>
                    <w14:schemeClr w14:val="tx1"/>
                  </w14:solidFill>
                </w14:textFill>
              </w:rPr>
              <w:t>进行土地复垦，</w:t>
            </w:r>
            <w:r>
              <w:rPr>
                <w:rFonts w:ascii="Times New Roman" w:hAnsi="Times New Roman"/>
                <w:color w:val="000000" w:themeColor="text1"/>
                <w:sz w:val="24"/>
                <w14:textFill>
                  <w14:solidFill>
                    <w14:schemeClr w14:val="tx1"/>
                  </w14:solidFill>
                </w14:textFill>
              </w:rPr>
              <w:t>及时复垦恢复原种植条件</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种植当地经济农作物，如小麦、玉米、果树等；</w:t>
            </w:r>
            <w:r>
              <w:rPr>
                <w:rFonts w:ascii="Times New Roman" w:hAnsi="Times New Roman"/>
                <w:color w:val="000000" w:themeColor="text1"/>
                <w:sz w:val="24"/>
                <w14:textFill>
                  <w14:solidFill>
                    <w14:schemeClr w14:val="tx1"/>
                  </w14:solidFill>
                </w14:textFill>
              </w:rPr>
              <w:t>其余占地</w:t>
            </w:r>
            <w:r>
              <w:rPr>
                <w:rFonts w:hint="eastAsia"/>
                <w:color w:val="000000" w:themeColor="text1"/>
                <w:sz w:val="24"/>
                <w:lang w:val="en-US" w:eastAsia="zh-CN"/>
                <w14:textFill>
                  <w14:solidFill>
                    <w14:schemeClr w14:val="tx1"/>
                  </w14:solidFill>
                </w14:textFill>
              </w:rPr>
              <w:t>可采用</w:t>
            </w:r>
            <w:r>
              <w:rPr>
                <w:rFonts w:ascii="Times New Roman" w:hAnsi="Times New Roman"/>
                <w:color w:val="000000" w:themeColor="text1"/>
                <w:sz w:val="24"/>
                <w14:textFill>
                  <w14:solidFill>
                    <w14:schemeClr w14:val="tx1"/>
                  </w14:solidFill>
                </w14:textFill>
              </w:rPr>
              <w:t>撒播树种和草籽，种植当地优势灌、草，同时对永久占地内的空地进行绿化</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如紫花苜蓿、草木犀、毛苕子、沙打旺、红豆草等。采取以上措施后施工期对植被环境影响较小。</w:t>
            </w:r>
          </w:p>
          <w:p>
            <w:pPr>
              <w:keepNext w:val="0"/>
              <w:keepLines w:val="0"/>
              <w:pageBreakBefore w:val="0"/>
              <w:kinsoku/>
              <w:wordWrap/>
              <w:overflowPunct/>
              <w:topLinePunct w:val="0"/>
              <w:bidi w:val="0"/>
              <w:adjustRightInd w:val="0"/>
              <w:snapToGrid/>
              <w:spacing w:line="360" w:lineRule="auto"/>
              <w:ind w:firstLine="480" w:firstLineChars="200"/>
              <w:jc w:val="left"/>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③土壤影响分析</w:t>
            </w:r>
          </w:p>
          <w:p>
            <w:pPr>
              <w:keepNext w:val="0"/>
              <w:keepLines w:val="0"/>
              <w:pageBreakBefore w:val="0"/>
              <w:kinsoku/>
              <w:wordWrap/>
              <w:overflowPunct/>
              <w:topLinePunct w:val="0"/>
              <w:bidi w:val="0"/>
              <w:snapToGrid/>
              <w:spacing w:line="360" w:lineRule="auto"/>
              <w:ind w:firstLine="480" w:firstLineChars="200"/>
              <w:jc w:val="left"/>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风电场施工、建设所使用的材料均选用符合国家环保标准的材料，不会</w:t>
            </w:r>
            <w:r>
              <w:rPr>
                <w:rFonts w:hint="eastAsia"/>
                <w:color w:val="000000" w:themeColor="text1"/>
                <w:sz w:val="24"/>
                <w:szCs w:val="24"/>
                <w:lang w:val="en-US" w:eastAsia="zh-CN"/>
                <w14:textFill>
                  <w14:solidFill>
                    <w14:schemeClr w14:val="tx1"/>
                  </w14:solidFill>
                </w14:textFill>
              </w:rPr>
              <w:t>污染土壤</w:t>
            </w:r>
            <w:r>
              <w:rPr>
                <w:rFonts w:ascii="Times New Roman" w:hAnsi="Times New Roman"/>
                <w:color w:val="000000" w:themeColor="text1"/>
                <w:sz w:val="24"/>
                <w:szCs w:val="24"/>
                <w14:textFill>
                  <w14:solidFill>
                    <w14:schemeClr w14:val="tx1"/>
                  </w14:solidFill>
                </w14:textFill>
              </w:rPr>
              <w:t>；施工过程中施工机械的管理及使用不当产生的机械燃油、润滑油漏损将污染土壤，加强施工期机械运行的管理与维护，减少废机油的产生</w:t>
            </w:r>
            <w:r>
              <w:rPr>
                <w:rFonts w:hint="eastAsia"/>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对土壤环境影响较小。</w:t>
            </w:r>
          </w:p>
          <w:p>
            <w:pPr>
              <w:pStyle w:val="2"/>
              <w:keepNext w:val="0"/>
              <w:keepLines w:val="0"/>
              <w:pageBreakBefore w:val="0"/>
              <w:kinsoku/>
              <w:wordWrap/>
              <w:overflowPunct/>
              <w:topLinePunct w:val="0"/>
              <w:bidi w:val="0"/>
              <w:snapToGrid/>
              <w:ind w:left="0" w:leftChars="0" w:firstLine="480"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④野生动物影响分析</w:t>
            </w:r>
          </w:p>
          <w:p>
            <w:pPr>
              <w:keepNext w:val="0"/>
              <w:keepLines w:val="0"/>
              <w:pageBreakBefore w:val="0"/>
              <w:kinsoku/>
              <w:wordWrap/>
              <w:overflowPunct/>
              <w:topLinePunct w:val="0"/>
              <w:autoSpaceDE w:val="0"/>
              <w:autoSpaceDN w:val="0"/>
              <w:bidi w:val="0"/>
              <w:adjustRightInd w:val="0"/>
              <w:snapToGrid/>
              <w:spacing w:line="360" w:lineRule="auto"/>
              <w:ind w:firstLine="482"/>
              <w:textAlignment w:val="auto"/>
              <w:rPr>
                <w:rFonts w:hint="eastAsia" w:ascii="Times New Roman" w:hAnsi="Times New Roman"/>
                <w:color w:val="000000" w:themeColor="text1"/>
                <w:sz w:val="24"/>
                <w:lang w:val="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本</w:t>
            </w:r>
            <w:r>
              <w:rPr>
                <w:color w:val="000000" w:themeColor="text1"/>
                <w:kern w:val="0"/>
                <w:sz w:val="24"/>
                <w:lang w:val="zh-CN"/>
                <w14:textFill>
                  <w14:solidFill>
                    <w14:schemeClr w14:val="tx1"/>
                  </w14:solidFill>
                </w14:textFill>
              </w:rPr>
              <w:t>项目</w:t>
            </w:r>
            <w:r>
              <w:rPr>
                <w:rFonts w:hint="eastAsia"/>
                <w:color w:val="000000" w:themeColor="text1"/>
                <w:kern w:val="0"/>
                <w:sz w:val="24"/>
                <w:lang w:val="en-US" w:eastAsia="zh-CN"/>
                <w14:textFill>
                  <w14:solidFill>
                    <w14:schemeClr w14:val="tx1"/>
                  </w14:solidFill>
                </w14:textFill>
              </w:rPr>
              <w:t>所在地</w:t>
            </w:r>
            <w:r>
              <w:rPr>
                <w:color w:val="000000" w:themeColor="text1"/>
                <w:kern w:val="0"/>
                <w:sz w:val="24"/>
                <w:lang w:val="zh-CN"/>
                <w14:textFill>
                  <w14:solidFill>
                    <w14:schemeClr w14:val="tx1"/>
                  </w14:solidFill>
                </w14:textFill>
              </w:rPr>
              <w:t>主要</w:t>
            </w:r>
            <w:r>
              <w:rPr>
                <w:rFonts w:hint="eastAsia"/>
                <w:color w:val="000000" w:themeColor="text1"/>
                <w:kern w:val="0"/>
                <w:sz w:val="24"/>
                <w:lang w:val="en-US" w:eastAsia="zh-CN"/>
                <w14:textFill>
                  <w14:solidFill>
                    <w14:schemeClr w14:val="tx1"/>
                  </w14:solidFill>
                </w14:textFill>
              </w:rPr>
              <w:t>分布</w:t>
            </w:r>
            <w:r>
              <w:rPr>
                <w:color w:val="000000" w:themeColor="text1"/>
                <w:kern w:val="0"/>
                <w:sz w:val="24"/>
                <w:lang w:val="zh-CN"/>
                <w14:textFill>
                  <w14:solidFill>
                    <w14:schemeClr w14:val="tx1"/>
                  </w14:solidFill>
                </w14:textFill>
              </w:rPr>
              <w:t>鸟类为</w:t>
            </w:r>
            <w:r>
              <w:rPr>
                <w:color w:val="000000" w:themeColor="text1"/>
                <w:sz w:val="24"/>
                <w14:textFill>
                  <w14:solidFill>
                    <w14:schemeClr w14:val="tx1"/>
                  </w14:solidFill>
                </w14:textFill>
              </w:rPr>
              <w:t>山雀、乌鸦、喜鹊、</w:t>
            </w:r>
            <w:r>
              <w:rPr>
                <w:rFonts w:hint="eastAsia"/>
                <w:color w:val="000000" w:themeColor="text1"/>
                <w:sz w:val="24"/>
                <w14:textFill>
                  <w14:solidFill>
                    <w14:schemeClr w14:val="tx1"/>
                  </w14:solidFill>
                </w14:textFill>
              </w:rPr>
              <w:t>燕子、</w:t>
            </w:r>
            <w:r>
              <w:rPr>
                <w:color w:val="000000" w:themeColor="text1"/>
                <w:sz w:val="24"/>
                <w14:textFill>
                  <w14:solidFill>
                    <w14:schemeClr w14:val="tx1"/>
                  </w14:solidFill>
                </w14:textFill>
              </w:rPr>
              <w:t>麻雀</w:t>
            </w:r>
            <w:r>
              <w:rPr>
                <w:color w:val="000000" w:themeColor="text1"/>
                <w:kern w:val="0"/>
                <w:sz w:val="24"/>
                <w:lang w:val="zh-CN"/>
                <w14:textFill>
                  <w14:solidFill>
                    <w14:schemeClr w14:val="tx1"/>
                  </w14:solidFill>
                </w14:textFill>
              </w:rPr>
              <w:t>等常见鸟类，</w:t>
            </w:r>
            <w:r>
              <w:rPr>
                <w:rFonts w:hint="eastAsia"/>
                <w:color w:val="000000" w:themeColor="text1"/>
                <w:kern w:val="0"/>
                <w:sz w:val="24"/>
                <w:lang w:val="en-US" w:eastAsia="zh-CN"/>
                <w14:textFill>
                  <w14:solidFill>
                    <w14:schemeClr w14:val="tx1"/>
                  </w14:solidFill>
                </w14:textFill>
              </w:rPr>
              <w:t>无珍稀鸟类分布</w:t>
            </w:r>
            <w:r>
              <w:rPr>
                <w:rFonts w:hint="eastAsia"/>
                <w:color w:val="000000" w:themeColor="text1"/>
                <w:kern w:val="0"/>
                <w:sz w:val="24"/>
                <w:lang w:val="zh-CN"/>
                <w14:textFill>
                  <w14:solidFill>
                    <w14:schemeClr w14:val="tx1"/>
                  </w14:solidFill>
                </w14:textFill>
              </w:rPr>
              <w:t>，不是鸟类主要的迁徙通道。</w:t>
            </w:r>
            <w:r>
              <w:rPr>
                <w:bCs/>
                <w:color w:val="000000" w:themeColor="text1"/>
                <w:sz w:val="24"/>
                <w14:textFill>
                  <w14:solidFill>
                    <w14:schemeClr w14:val="tx1"/>
                  </w14:solidFill>
                </w14:textFill>
              </w:rPr>
              <w:t>小型野生动物多为鼠、</w:t>
            </w:r>
            <w:r>
              <w:rPr>
                <w:rFonts w:hint="eastAsia" w:hAnsi="宋体"/>
                <w:color w:val="000000" w:themeColor="text1"/>
                <w:spacing w:val="10"/>
                <w:kern w:val="24"/>
                <w:sz w:val="24"/>
                <w14:textFill>
                  <w14:solidFill>
                    <w14:schemeClr w14:val="tx1"/>
                  </w14:solidFill>
                </w14:textFill>
              </w:rPr>
              <w:t>野猪、</w:t>
            </w:r>
            <w:r>
              <w:rPr>
                <w:bCs/>
                <w:color w:val="000000" w:themeColor="text1"/>
                <w:sz w:val="24"/>
                <w14:textFill>
                  <w14:solidFill>
                    <w14:schemeClr w14:val="tx1"/>
                  </w14:solidFill>
                </w14:textFill>
              </w:rPr>
              <w:t>兔类，</w:t>
            </w:r>
            <w:r>
              <w:rPr>
                <w:color w:val="000000" w:themeColor="text1"/>
                <w:kern w:val="0"/>
                <w:sz w:val="24"/>
                <w:lang w:val="zh-CN"/>
                <w14:textFill>
                  <w14:solidFill>
                    <w14:schemeClr w14:val="tx1"/>
                  </w14:solidFill>
                </w14:textFill>
              </w:rPr>
              <w:t>不涉及</w:t>
            </w:r>
            <w:r>
              <w:rPr>
                <w:rFonts w:hint="eastAsia"/>
                <w:color w:val="000000" w:themeColor="text1"/>
                <w:kern w:val="0"/>
                <w:sz w:val="24"/>
                <w:lang w:val="en-US" w:eastAsia="zh-CN"/>
                <w14:textFill>
                  <w14:solidFill>
                    <w14:schemeClr w14:val="tx1"/>
                  </w14:solidFill>
                </w14:textFill>
              </w:rPr>
              <w:t>保护和</w:t>
            </w:r>
            <w:r>
              <w:rPr>
                <w:color w:val="000000" w:themeColor="text1"/>
                <w:kern w:val="0"/>
                <w:sz w:val="24"/>
                <w:lang w:val="zh-CN"/>
                <w14:textFill>
                  <w14:solidFill>
                    <w14:schemeClr w14:val="tx1"/>
                  </w14:solidFill>
                </w14:textFill>
              </w:rPr>
              <w:t>珍稀</w:t>
            </w:r>
            <w:r>
              <w:rPr>
                <w:rFonts w:hint="eastAsia"/>
                <w:color w:val="000000" w:themeColor="text1"/>
                <w:kern w:val="0"/>
                <w:sz w:val="24"/>
                <w:lang w:val="en-US" w:eastAsia="zh-CN"/>
                <w14:textFill>
                  <w14:solidFill>
                    <w14:schemeClr w14:val="tx1"/>
                  </w14:solidFill>
                </w14:textFill>
              </w:rPr>
              <w:t>类野生动物</w:t>
            </w:r>
            <w:r>
              <w:rPr>
                <w:color w:val="000000" w:themeColor="text1"/>
                <w:kern w:val="0"/>
                <w:sz w:val="24"/>
                <w:lang w:val="zh-CN"/>
                <w14:textFill>
                  <w14:solidFill>
                    <w14:schemeClr w14:val="tx1"/>
                  </w14:solidFill>
                </w14:textFill>
              </w:rPr>
              <w:t>的迁徙路线和栖息环境的影响</w:t>
            </w:r>
            <w:r>
              <w:rPr>
                <w:rFonts w:hint="eastAsia"/>
                <w:color w:val="000000" w:themeColor="text1"/>
                <w:kern w:val="0"/>
                <w:sz w:val="24"/>
                <w:lang w:val="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本项目施工期较短，施工点位较分散，施工期野生动物都将产生规避反应，施工完成后，施工噪声对动物的影响即结束。</w:t>
            </w:r>
            <w:r>
              <w:rPr>
                <w:rFonts w:hint="eastAsia"/>
                <w:bCs/>
                <w:color w:val="000000" w:themeColor="text1"/>
                <w:sz w:val="24"/>
                <w:lang w:val="en-US" w:eastAsia="zh-CN"/>
                <w14:textFill>
                  <w14:solidFill>
                    <w14:schemeClr w14:val="tx1"/>
                  </w14:solidFill>
                </w14:textFill>
              </w:rPr>
              <w:t>因此</w:t>
            </w:r>
            <w:r>
              <w:rPr>
                <w:bCs/>
                <w:color w:val="000000" w:themeColor="text1"/>
                <w:sz w:val="24"/>
                <w14:textFill>
                  <w14:solidFill>
                    <w14:schemeClr w14:val="tx1"/>
                  </w14:solidFill>
                </w14:textFill>
              </w:rPr>
              <w:t>，</w:t>
            </w:r>
            <w:r>
              <w:rPr>
                <w:color w:val="000000" w:themeColor="text1"/>
                <w:kern w:val="0"/>
                <w:sz w:val="24"/>
                <w:lang w:val="zh-CN"/>
                <w14:textFill>
                  <w14:solidFill>
                    <w14:schemeClr w14:val="tx1"/>
                  </w14:solidFill>
                </w14:textFill>
              </w:rPr>
              <w:t>施工期对野生动物的影响较小。</w:t>
            </w:r>
          </w:p>
          <w:p>
            <w:pPr>
              <w:keepNext w:val="0"/>
              <w:keepLines w:val="0"/>
              <w:pageBreakBefore w:val="0"/>
              <w:kinsoku/>
              <w:wordWrap/>
              <w:overflowPunct/>
              <w:topLinePunct w:val="0"/>
              <w:autoSpaceDE w:val="0"/>
              <w:autoSpaceDN w:val="0"/>
              <w:bidi w:val="0"/>
              <w:adjustRightInd w:val="0"/>
              <w:snapToGrid/>
              <w:spacing w:line="360" w:lineRule="auto"/>
              <w:ind w:firstLine="482"/>
              <w:textAlignment w:val="auto"/>
              <w:rPr>
                <w:rFonts w:ascii="宋体" w:hAnsi="宋体" w:cs="宋体"/>
                <w:bCs/>
                <w:color w:val="000000" w:themeColor="text1"/>
                <w:sz w:val="24"/>
                <w:szCs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综上所述，施工期采取以上措施后，临时占地进行复耕，永久占地得到补偿，植被生物量得到恢复，土壤和野生动物的影响较小；因此，施工期对生态环境影响较小。</w:t>
            </w:r>
            <w:r>
              <w:rPr>
                <w:rFonts w:hint="eastAsia"/>
                <w:color w:val="000000" w:themeColor="text1"/>
                <w:sz w:val="24"/>
                <w:lang w:val="en-US" w:eastAsia="zh-CN"/>
                <w14:textFill>
                  <w14:solidFill>
                    <w14:schemeClr w14:val="tx1"/>
                  </w14:solidFill>
                </w14:textFill>
              </w:rPr>
              <w:t>施工期</w:t>
            </w:r>
            <w:r>
              <w:rPr>
                <w:rFonts w:hint="eastAsia" w:ascii="Times New Roman" w:hAnsi="Times New Roman"/>
                <w:color w:val="000000" w:themeColor="text1"/>
                <w:sz w:val="24"/>
                <w:lang w:val="zh-CN"/>
                <w14:textFill>
                  <w14:solidFill>
                    <w14:schemeClr w14:val="tx1"/>
                  </w14:solidFill>
                </w14:textFill>
              </w:rPr>
              <w:t>生态环境影响评价详见生态专题。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noWrap w:val="0"/>
            <w:tcMar>
              <w:left w:w="28" w:type="dxa"/>
              <w:right w:w="28" w:type="dxa"/>
            </w:tcMar>
            <w:vAlign w:val="center"/>
          </w:tcPr>
          <w:p>
            <w:pPr>
              <w:pStyle w:val="15"/>
              <w:keepNext w:val="0"/>
              <w:keepLines w:val="0"/>
              <w:pageBreakBefore w:val="0"/>
              <w:kinsoku/>
              <w:wordWrap/>
              <w:overflowPunct/>
              <w:topLinePunct w:val="0"/>
              <w:bidi w:val="0"/>
              <w:adjustRightInd w:val="0"/>
              <w:snapToGrid/>
              <w:spacing w:before="0" w:beforeAutospacing="0" w:after="0" w:afterAutospacing="0"/>
              <w:jc w:val="center"/>
              <w:textAlignment w:val="auto"/>
              <w:rPr>
                <w:rFonts w:cs="宋体"/>
                <w:bCs/>
                <w:color w:val="000000" w:themeColor="text1"/>
                <w:kern w:val="2"/>
                <w:sz w:val="24"/>
                <w:szCs w:val="24"/>
                <w14:textFill>
                  <w14:solidFill>
                    <w14:schemeClr w14:val="tx1"/>
                  </w14:solidFill>
                </w14:textFill>
              </w:rPr>
            </w:pPr>
            <w:r>
              <w:rPr>
                <w:rFonts w:hint="eastAsia" w:cs="宋体"/>
                <w:bCs/>
                <w:color w:val="000000" w:themeColor="text1"/>
                <w:spacing w:val="10"/>
                <w:kern w:val="2"/>
                <w:sz w:val="24"/>
                <w:szCs w:val="24"/>
                <w14:textFill>
                  <w14:solidFill>
                    <w14:schemeClr w14:val="tx1"/>
                  </w14:solidFill>
                </w14:textFill>
              </w:rPr>
              <w:t>运营期生态环境影响分析</w:t>
            </w:r>
          </w:p>
        </w:tc>
        <w:tc>
          <w:tcPr>
            <w:tcW w:w="8363" w:type="dxa"/>
            <w:noWrap w:val="0"/>
            <w:vAlign w:val="top"/>
          </w:tcPr>
          <w:p>
            <w:pPr>
              <w:keepNext w:val="0"/>
              <w:keepLines w:val="0"/>
              <w:pageBreakBefore w:val="0"/>
              <w:kinsoku/>
              <w:wordWrap/>
              <w:overflowPunct/>
              <w:topLinePunct w:val="0"/>
              <w:bidi w:val="0"/>
              <w:snapToGrid/>
              <w:spacing w:line="360" w:lineRule="auto"/>
              <w:ind w:firstLine="241" w:firstLineChars="100"/>
              <w:textAlignment w:val="auto"/>
              <w:rPr>
                <w:rFonts w:hint="default" w:ascii="Times New Roman" w:hAnsi="Times New Roman"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1、运营期工艺流程及产污环节</w:t>
            </w:r>
          </w:p>
          <w:p>
            <w:pPr>
              <w:keepNext w:val="0"/>
              <w:keepLines w:val="0"/>
              <w:pageBreakBefore w:val="0"/>
              <w:kinsoku/>
              <w:wordWrap/>
              <w:overflowPunct/>
              <w:topLinePunct w:val="0"/>
              <w:bidi w:val="0"/>
              <w:snapToGrid/>
              <w:spacing w:line="360" w:lineRule="auto"/>
              <w:ind w:firstLine="420"/>
              <w:textAlignment w:val="auto"/>
              <w:rPr>
                <w:rFonts w:hint="default" w:ascii="Times New Roman" w:hAnsi="Times New Roman" w:eastAsia="宋体"/>
                <w:color w:val="000000" w:themeColor="text1"/>
                <w:sz w:val="24"/>
                <w:lang w:val="en-US" w:eastAsia="zh-CN"/>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1</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运营期工艺流程</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风机叶片在风力带动下将风能转化成机械能，经齿轮的传动系统（变速箱），在齿轮箱和发电机的作用下，机械能转化为电能，带动发电机发电产生电流。</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风力发电机组出口电压为0.69kV，采用一机一变的单元接线方式，将电压通过箱式变压器升至35kV后，</w:t>
            </w:r>
            <w:r>
              <w:rPr>
                <w:rFonts w:hint="eastAsia"/>
                <w:color w:val="000000" w:themeColor="text1"/>
                <w:sz w:val="24"/>
                <w:lang w:val="en-US" w:eastAsia="zh-CN"/>
                <w14:textFill>
                  <w14:solidFill>
                    <w14:schemeClr w14:val="tx1"/>
                  </w14:solidFill>
                </w14:textFill>
              </w:rPr>
              <w:t>经</w:t>
            </w:r>
            <w:r>
              <w:rPr>
                <w:rFonts w:hint="eastAsia" w:ascii="Times New Roman" w:hAnsi="Times New Roman"/>
                <w:color w:val="000000" w:themeColor="text1"/>
                <w:sz w:val="24"/>
                <w:lang w:val="en-US" w:eastAsia="zh-CN"/>
                <w14:textFill>
                  <w14:solidFill>
                    <w14:schemeClr w14:val="tx1"/>
                  </w14:solidFill>
                </w14:textFill>
              </w:rPr>
              <w:t>35kV线路由各风机相变电缆出线，至电缆终端塔后改架空至拟建</w:t>
            </w:r>
            <w:r>
              <w:rPr>
                <w:rFonts w:hint="eastAsia"/>
                <w:color w:val="000000" w:themeColor="text1"/>
                <w:sz w:val="24"/>
                <w:lang w:val="en-US" w:eastAsia="zh-CN"/>
                <w14:textFill>
                  <w14:solidFill>
                    <w14:schemeClr w14:val="tx1"/>
                  </w14:solidFill>
                </w14:textFill>
              </w:rPr>
              <w:t>35kV开关站，拟</w:t>
            </w:r>
            <w:r>
              <w:rPr>
                <w:rFonts w:hint="eastAsia" w:ascii="Times New Roman" w:hAnsi="Times New Roman" w:eastAsia="Times New Roman"/>
                <w:color w:val="000000" w:themeColor="text1"/>
                <w:sz w:val="24"/>
                <w:lang w:val="en-US" w:eastAsia="zh-CN"/>
                <w14:textFill>
                  <w14:solidFill>
                    <w14:schemeClr w14:val="tx1"/>
                  </w14:solidFill>
                </w14:textFill>
              </w:rPr>
              <w:t>以</w:t>
            </w:r>
            <w:r>
              <w:rPr>
                <w:rFonts w:ascii="Times New Roman" w:hAnsi="Times New Roman" w:eastAsia="Times New Roman"/>
                <w:color w:val="000000" w:themeColor="text1"/>
                <w:sz w:val="24"/>
                <w:lang w:val="en-US" w:eastAsia="zh-CN"/>
                <w14:textFill>
                  <w14:solidFill>
                    <w14:schemeClr w14:val="tx1"/>
                  </w14:solidFill>
                </w14:textFill>
              </w:rPr>
              <w:t>1</w:t>
            </w:r>
            <w:r>
              <w:rPr>
                <w:rFonts w:hint="eastAsia" w:ascii="Times New Roman" w:hAnsi="Times New Roman" w:eastAsia="Times New Roman"/>
                <w:color w:val="000000" w:themeColor="text1"/>
                <w:sz w:val="24"/>
                <w:lang w:val="en-US" w:eastAsia="zh-CN"/>
                <w14:textFill>
                  <w14:solidFill>
                    <w14:schemeClr w14:val="tx1"/>
                  </w14:solidFill>
                </w14:textFill>
              </w:rPr>
              <w:t>回</w:t>
            </w:r>
            <w:r>
              <w:rPr>
                <w:rFonts w:hint="default" w:ascii="Times New Roman" w:hAnsi="Times New Roman" w:eastAsia="Times New Roman"/>
                <w:color w:val="000000" w:themeColor="text1"/>
                <w:sz w:val="24"/>
                <w:lang w:val="en-US" w:eastAsia="zh-CN"/>
                <w14:textFill>
                  <w14:solidFill>
                    <w14:schemeClr w14:val="tx1"/>
                  </w14:solidFill>
                </w14:textFill>
              </w:rPr>
              <w:t>35kV</w:t>
            </w:r>
            <w:r>
              <w:rPr>
                <w:rFonts w:hint="eastAsia" w:ascii="Times New Roman" w:hAnsi="Times New Roman" w:eastAsia="Times New Roman"/>
                <w:color w:val="000000" w:themeColor="text1"/>
                <w:sz w:val="24"/>
                <w:lang w:val="en-US" w:eastAsia="zh-CN"/>
                <w14:textFill>
                  <w14:solidFill>
                    <w14:schemeClr w14:val="tx1"/>
                  </w14:solidFill>
                </w14:textFill>
              </w:rPr>
              <w:t>架空线路就近接入安里</w:t>
            </w:r>
            <w:r>
              <w:rPr>
                <w:rFonts w:hint="default" w:ascii="Times New Roman" w:hAnsi="Times New Roman" w:eastAsia="Times New Roman"/>
                <w:color w:val="000000" w:themeColor="text1"/>
                <w:sz w:val="24"/>
                <w:lang w:val="en-US" w:eastAsia="zh-CN"/>
                <w14:textFill>
                  <w14:solidFill>
                    <w14:schemeClr w14:val="tx1"/>
                  </w14:solidFill>
                </w14:textFill>
              </w:rPr>
              <w:t>110kV</w:t>
            </w:r>
            <w:r>
              <w:rPr>
                <w:rFonts w:hint="eastAsia" w:ascii="Times New Roman" w:hAnsi="Times New Roman" w:eastAsia="Times New Roman"/>
                <w:color w:val="000000" w:themeColor="text1"/>
                <w:sz w:val="24"/>
                <w:lang w:val="en-US" w:eastAsia="zh-CN"/>
                <w14:textFill>
                  <w14:solidFill>
                    <w14:schemeClr w14:val="tx1"/>
                  </w14:solidFill>
                </w14:textFill>
              </w:rPr>
              <w:t>变电站</w:t>
            </w:r>
            <w:r>
              <w:rPr>
                <w:rFonts w:hint="default" w:ascii="Times New Roman" w:hAnsi="Times New Roman" w:eastAsia="Times New Roman"/>
                <w:color w:val="000000" w:themeColor="text1"/>
                <w:sz w:val="24"/>
                <w:lang w:val="en-US" w:eastAsia="zh-CN"/>
                <w14:textFill>
                  <w14:solidFill>
                    <w14:schemeClr w14:val="tx1"/>
                  </w14:solidFill>
                </w14:textFill>
              </w:rPr>
              <w:t>35kV</w:t>
            </w:r>
            <w:r>
              <w:rPr>
                <w:rFonts w:hint="eastAsia" w:ascii="Times New Roman" w:hAnsi="Times New Roman" w:eastAsia="Times New Roman"/>
                <w:color w:val="000000" w:themeColor="text1"/>
                <w:sz w:val="24"/>
                <w:lang w:val="en-US" w:eastAsia="zh-CN"/>
                <w14:textFill>
                  <w14:solidFill>
                    <w14:schemeClr w14:val="tx1"/>
                  </w14:solidFill>
                </w14:textFill>
              </w:rPr>
              <w:t>侧</w:t>
            </w:r>
            <w:r>
              <w:rPr>
                <w:rFonts w:hint="eastAsia" w:eastAsia="Times New Roman"/>
                <w:color w:val="000000" w:themeColor="text1"/>
                <w:sz w:val="24"/>
                <w:lang w:val="en-US"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本项目架空集电线路为</w:t>
            </w:r>
            <w:r>
              <w:rPr>
                <w:rFonts w:hint="eastAsia"/>
                <w:color w:val="000000" w:themeColor="text1"/>
                <w:sz w:val="24"/>
                <w:lang w:val="en-US" w:eastAsia="zh-CN"/>
                <w14:textFill>
                  <w14:solidFill>
                    <w14:schemeClr w14:val="tx1"/>
                  </w14:solidFill>
                </w14:textFill>
              </w:rPr>
              <w:t>1</w:t>
            </w:r>
            <w:r>
              <w:rPr>
                <w:rFonts w:ascii="Times New Roman" w:hAnsi="Times New Roman"/>
                <w:color w:val="000000" w:themeColor="text1"/>
                <w:sz w:val="24"/>
                <w14:textFill>
                  <w14:solidFill>
                    <w14:schemeClr w14:val="tx1"/>
                  </w14:solidFill>
                </w14:textFill>
              </w:rPr>
              <w:t>回，分别连接</w:t>
            </w:r>
            <w:r>
              <w:rPr>
                <w:rFonts w:hint="eastAsia"/>
                <w:color w:val="000000" w:themeColor="text1"/>
                <w:sz w:val="24"/>
                <w:lang w:val="en-US" w:eastAsia="zh-CN"/>
                <w14:textFill>
                  <w14:solidFill>
                    <w14:schemeClr w14:val="tx1"/>
                  </w14:solidFill>
                </w14:textFill>
              </w:rPr>
              <w:t>8</w:t>
            </w:r>
            <w:r>
              <w:rPr>
                <w:rFonts w:ascii="Times New Roman" w:hAnsi="Times New Roman"/>
                <w:color w:val="000000" w:themeColor="text1"/>
                <w:sz w:val="24"/>
                <w14:textFill>
                  <w14:solidFill>
                    <w14:schemeClr w14:val="tx1"/>
                  </w14:solidFill>
                </w14:textFill>
              </w:rPr>
              <w:t>台风电机组。</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风电场营运期工艺流程如下图</w:t>
            </w:r>
            <w:r>
              <w:rPr>
                <w:rFonts w:hint="eastAsia"/>
                <w:color w:val="000000" w:themeColor="text1"/>
                <w:sz w:val="24"/>
                <w:lang w:val="en-US" w:eastAsia="zh-CN"/>
                <w14:textFill>
                  <w14:solidFill>
                    <w14:schemeClr w14:val="tx1"/>
                  </w14:solidFill>
                </w14:textFill>
              </w:rPr>
              <w:t>4-2</w:t>
            </w:r>
            <w:r>
              <w:rPr>
                <w:rFonts w:ascii="Times New Roman" w:hAnsi="Times New Roman"/>
                <w:color w:val="000000" w:themeColor="text1"/>
                <w:sz w:val="24"/>
                <w14:textFill>
                  <w14:solidFill>
                    <w14:schemeClr w14:val="tx1"/>
                  </w14:solidFill>
                </w14:textFill>
              </w:rPr>
              <w:t>所示。</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Times New Roman" w:hAnsi="Times New Roman" w:eastAsia="宋体"/>
                <w:b/>
                <w:bCs/>
                <w:color w:val="000000" w:themeColor="text1"/>
                <w:lang w:eastAsia="zh-CN"/>
                <w14:textFill>
                  <w14:solidFill>
                    <w14:schemeClr w14:val="tx1"/>
                  </w14:solidFill>
                </w14:textFill>
              </w:rPr>
            </w:pPr>
            <w:r>
              <w:rPr>
                <w:rFonts w:ascii="Times New Roman" w:hAnsi="Times New Roman"/>
                <w:color w:val="000000" w:themeColor="text1"/>
                <w:szCs w:val="24"/>
                <w14:textFill>
                  <w14:solidFill>
                    <w14:schemeClr w14:val="tx1"/>
                  </w14:solidFill>
                </w14:textFill>
              </w:rPr>
              <w:drawing>
                <wp:inline distT="0" distB="0" distL="114300" distR="114300">
                  <wp:extent cx="4218940" cy="1978025"/>
                  <wp:effectExtent l="9525" t="9525" r="13335" b="19050"/>
                  <wp:docPr id="7" name="图片 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1"/>
                          <pic:cNvPicPr>
                            <a:picLocks noChangeAspect="1"/>
                          </pic:cNvPicPr>
                        </pic:nvPicPr>
                        <pic:blipFill>
                          <a:blip r:embed="rId8"/>
                          <a:stretch>
                            <a:fillRect/>
                          </a:stretch>
                        </pic:blipFill>
                        <pic:spPr>
                          <a:xfrm>
                            <a:off x="0" y="0"/>
                            <a:ext cx="4218940" cy="1978025"/>
                          </a:xfrm>
                          <a:prstGeom prst="rect">
                            <a:avLst/>
                          </a:prstGeom>
                          <a:ln>
                            <a:solidFill>
                              <a:schemeClr val="tx1"/>
                            </a:solid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jc w:val="center"/>
              <w:textAlignment w:val="auto"/>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图</w:t>
            </w:r>
            <w:r>
              <w:rPr>
                <w:rFonts w:hint="eastAsia" w:ascii="Times New Roman"/>
                <w:color w:val="000000" w:themeColor="text1"/>
                <w:szCs w:val="24"/>
                <w:lang w:val="en-US" w:eastAsia="zh-CN"/>
                <w14:textFill>
                  <w14:solidFill>
                    <w14:schemeClr w14:val="tx1"/>
                  </w14:solidFill>
                </w14:textFill>
              </w:rPr>
              <w:t>4-2</w:t>
            </w:r>
            <w:r>
              <w:rPr>
                <w:rFonts w:hint="eastAsia" w:ascii="Times New Roman" w:eastAsia="宋体"/>
                <w:color w:val="000000" w:themeColor="text1"/>
                <w:szCs w:val="24"/>
                <w:lang w:val="en-US" w:eastAsia="zh-CN"/>
                <w14:textFill>
                  <w14:solidFill>
                    <w14:schemeClr w14:val="tx1"/>
                  </w14:solidFill>
                </w14:textFill>
              </w:rPr>
              <w:t xml:space="preserve"> </w:t>
            </w:r>
            <w:r>
              <w:rPr>
                <w:rFonts w:ascii="Times New Roman" w:hAnsi="Times New Roman" w:eastAsia="Times New Roman"/>
                <w:color w:val="000000" w:themeColor="text1"/>
                <w:szCs w:val="24"/>
                <w14:textFill>
                  <w14:solidFill>
                    <w14:schemeClr w14:val="tx1"/>
                  </w14:solidFill>
                </w14:textFill>
              </w:rPr>
              <w:t xml:space="preserve"> </w:t>
            </w:r>
            <w:r>
              <w:rPr>
                <w:rFonts w:ascii="Times New Roman" w:hAnsi="Times New Roman"/>
                <w:color w:val="000000" w:themeColor="text1"/>
                <w:szCs w:val="24"/>
                <w14:textFill>
                  <w14:solidFill>
                    <w14:schemeClr w14:val="tx1"/>
                  </w14:solidFill>
                </w14:textFill>
              </w:rPr>
              <w:t>工艺流程图</w:t>
            </w:r>
          </w:p>
          <w:p>
            <w:pPr>
              <w:keepNext w:val="0"/>
              <w:keepLines w:val="0"/>
              <w:pageBreakBefore w:val="0"/>
              <w:kinsoku/>
              <w:wordWrap/>
              <w:overflowPunct/>
              <w:topLinePunct w:val="0"/>
              <w:bidi w:val="0"/>
              <w:snapToGrid/>
              <w:spacing w:line="360" w:lineRule="auto"/>
              <w:ind w:firstLine="420"/>
              <w:textAlignment w:val="auto"/>
              <w:rPr>
                <w:rFonts w:hint="default" w:ascii="Times New Roman" w:hAnsi="Times New Roman" w:eastAsia="宋体"/>
                <w:color w:val="000000" w:themeColor="text1"/>
                <w:sz w:val="24"/>
                <w:lang w:val="en-US" w:eastAsia="zh-CN"/>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2</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运营期产污环节</w:t>
            </w:r>
          </w:p>
          <w:p>
            <w:pPr>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营运期主要</w:t>
            </w:r>
            <w:r>
              <w:rPr>
                <w:rFonts w:hint="eastAsia"/>
                <w:color w:val="000000" w:themeColor="text1"/>
                <w:sz w:val="24"/>
                <w:lang w:val="en-US" w:eastAsia="zh-CN"/>
                <w14:textFill>
                  <w14:solidFill>
                    <w14:schemeClr w14:val="tx1"/>
                  </w14:solidFill>
                </w14:textFill>
              </w:rPr>
              <w:t>产污</w:t>
            </w:r>
            <w:r>
              <w:rPr>
                <w:rFonts w:ascii="Times New Roman" w:hAnsi="Times New Roman"/>
                <w:color w:val="000000" w:themeColor="text1"/>
                <w:sz w:val="24"/>
                <w14:textFill>
                  <w14:solidFill>
                    <w14:schemeClr w14:val="tx1"/>
                  </w14:solidFill>
                </w14:textFill>
              </w:rPr>
              <w:t>环节见图</w:t>
            </w:r>
            <w:r>
              <w:rPr>
                <w:rFonts w:hint="eastAsia"/>
                <w:color w:val="000000" w:themeColor="text1"/>
                <w:sz w:val="24"/>
                <w:lang w:val="en-US" w:eastAsia="zh-CN"/>
                <w14:textFill>
                  <w14:solidFill>
                    <w14:schemeClr w14:val="tx1"/>
                  </w14:solidFill>
                </w14:textFill>
              </w:rPr>
              <w:t>4-3</w:t>
            </w:r>
            <w:r>
              <w:rPr>
                <w:rFonts w:ascii="Times New Roman" w:hAnsi="Times New Roman"/>
                <w:color w:val="000000" w:themeColor="text1"/>
                <w:sz w:val="24"/>
                <w14:textFill>
                  <w14:solidFill>
                    <w14:schemeClr w14:val="tx1"/>
                  </w14:solidFill>
                </w14:textFill>
              </w:rPr>
              <w:t>（图中虚线部分不在本次评价范围内）。</w:t>
            </w:r>
          </w:p>
          <w:p>
            <w:pPr>
              <w:pStyle w:val="17"/>
              <w:keepNext w:val="0"/>
              <w:keepLines w:val="0"/>
              <w:pageBreakBefore w:val="0"/>
              <w:kinsoku/>
              <w:wordWrap/>
              <w:overflowPunct/>
              <w:topLinePunct w:val="0"/>
              <w:bidi w:val="0"/>
              <w:snapToGrid/>
              <w:ind w:left="0" w:leftChars="0" w:firstLine="0" w:firstLineChars="0"/>
              <w:jc w:val="center"/>
              <w:textAlignment w:val="auto"/>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drawing>
                <wp:inline distT="0" distB="0" distL="114300" distR="114300">
                  <wp:extent cx="5166360" cy="1020445"/>
                  <wp:effectExtent l="0" t="0" r="2540" b="8255"/>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9"/>
                          <a:stretch>
                            <a:fillRect/>
                          </a:stretch>
                        </pic:blipFill>
                        <pic:spPr>
                          <a:xfrm>
                            <a:off x="0" y="0"/>
                            <a:ext cx="5166360" cy="1020445"/>
                          </a:xfrm>
                          <a:prstGeom prst="rect">
                            <a:avLst/>
                          </a:prstGeom>
                          <a:ln>
                            <a:noFill/>
                          </a:ln>
                        </pic:spPr>
                      </pic:pic>
                    </a:graphicData>
                  </a:graphic>
                </wp:inline>
              </w:drawing>
            </w:r>
          </w:p>
          <w:p>
            <w:pPr>
              <w:pStyle w:val="17"/>
              <w:keepNext w:val="0"/>
              <w:keepLines w:val="0"/>
              <w:pageBreakBefore w:val="0"/>
              <w:kinsoku/>
              <w:wordWrap/>
              <w:overflowPunct/>
              <w:topLinePunct w:val="0"/>
              <w:bidi w:val="0"/>
              <w:snapToGrid/>
              <w:ind w:left="0" w:leftChars="0" w:firstLine="0" w:firstLineChars="0"/>
              <w:jc w:val="center"/>
              <w:textAlignment w:val="auto"/>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图</w:t>
            </w:r>
            <w:r>
              <w:rPr>
                <w:rFonts w:hint="eastAsia"/>
                <w:color w:val="000000" w:themeColor="text1"/>
                <w:sz w:val="24"/>
                <w:szCs w:val="24"/>
                <w:lang w:val="en-US" w:eastAsia="zh-CN"/>
                <w14:textFill>
                  <w14:solidFill>
                    <w14:schemeClr w14:val="tx1"/>
                  </w14:solidFill>
                </w14:textFill>
              </w:rPr>
              <w:t xml:space="preserve">4-3 </w:t>
            </w:r>
            <w:r>
              <w:rPr>
                <w:rFonts w:ascii="Times New Roman" w:hAnsi="Times New Roman"/>
                <w:color w:val="000000" w:themeColor="text1"/>
                <w:sz w:val="24"/>
                <w:szCs w:val="24"/>
                <w14:textFill>
                  <w14:solidFill>
                    <w14:schemeClr w14:val="tx1"/>
                  </w14:solidFill>
                </w14:textFill>
              </w:rPr>
              <w:t xml:space="preserve"> 产污环节图</w:t>
            </w:r>
          </w:p>
          <w:p>
            <w:pPr>
              <w:keepNext w:val="0"/>
              <w:keepLines w:val="0"/>
              <w:pageBreakBefore w:val="0"/>
              <w:kinsoku/>
              <w:wordWrap/>
              <w:overflowPunct/>
              <w:topLinePunct w:val="0"/>
              <w:bidi w:val="0"/>
              <w:snapToGrid/>
              <w:spacing w:line="360" w:lineRule="auto"/>
              <w:ind w:firstLine="241" w:firstLineChars="100"/>
              <w:textAlignment w:val="auto"/>
              <w:rPr>
                <w:rFonts w:hint="default" w:ascii="Times New Roman" w:hAnsi="Times New Roman"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2、运营期环境影响分析</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1</w:t>
            </w:r>
            <w:r>
              <w:rPr>
                <w:rFonts w:hint="eastAsia"/>
                <w:b/>
                <w:bCs/>
                <w:color w:val="000000" w:themeColor="text1"/>
                <w:sz w:val="24"/>
                <w:lang w:eastAsia="zh-CN"/>
                <w14:textFill>
                  <w14:solidFill>
                    <w14:schemeClr w14:val="tx1"/>
                  </w14:solidFill>
                </w14:textFill>
              </w:rPr>
              <w:t>）</w:t>
            </w:r>
            <w:r>
              <w:rPr>
                <w:rFonts w:ascii="Times New Roman" w:hAnsi="Times New Roman"/>
                <w:b/>
                <w:bCs/>
                <w:color w:val="000000" w:themeColor="text1"/>
                <w:sz w:val="24"/>
                <w14:textFill>
                  <w14:solidFill>
                    <w14:schemeClr w14:val="tx1"/>
                  </w14:solidFill>
                </w14:textFill>
              </w:rPr>
              <w:t>大气环境</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w:t>
            </w:r>
            <w:r>
              <w:rPr>
                <w:rFonts w:hint="eastAsia"/>
                <w:color w:val="000000" w:themeColor="text1"/>
                <w:sz w:val="24"/>
                <w:lang w:val="en-US" w:eastAsia="zh-CN"/>
                <w14:textFill>
                  <w14:solidFill>
                    <w14:schemeClr w14:val="tx1"/>
                  </w14:solidFill>
                </w14:textFill>
              </w:rPr>
              <w:t>35kV开关站</w:t>
            </w:r>
            <w:r>
              <w:rPr>
                <w:rFonts w:ascii="Times New Roman" w:hAnsi="Times New Roman"/>
                <w:color w:val="000000" w:themeColor="text1"/>
                <w:sz w:val="24"/>
                <w14:textFill>
                  <w14:solidFill>
                    <w14:schemeClr w14:val="tx1"/>
                  </w14:solidFill>
                </w14:textFill>
              </w:rPr>
              <w:t>不设置食堂，运营期无废气产生。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imes New Roman" w:hAnsi="Times New Roman"/>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2</w:t>
            </w:r>
            <w:r>
              <w:rPr>
                <w:rFonts w:hint="eastAsia"/>
                <w:b/>
                <w:bCs/>
                <w:color w:val="000000" w:themeColor="text1"/>
                <w:sz w:val="24"/>
                <w:lang w:eastAsia="zh-CN"/>
                <w14:textFill>
                  <w14:solidFill>
                    <w14:schemeClr w14:val="tx1"/>
                  </w14:solidFill>
                </w14:textFill>
              </w:rPr>
              <w:t>）</w:t>
            </w:r>
            <w:r>
              <w:rPr>
                <w:rFonts w:ascii="Times New Roman" w:hAnsi="Times New Roman"/>
                <w:b/>
                <w:bCs/>
                <w:color w:val="000000" w:themeColor="text1"/>
                <w:sz w:val="24"/>
                <w14:textFill>
                  <w14:solidFill>
                    <w14:schemeClr w14:val="tx1"/>
                  </w14:solidFill>
                </w14:textFill>
              </w:rPr>
              <w:t>水环境</w:t>
            </w:r>
          </w:p>
          <w:p>
            <w:pPr>
              <w:pStyle w:val="17"/>
              <w:keepNext w:val="0"/>
              <w:keepLines w:val="0"/>
              <w:pageBreakBefore w:val="0"/>
              <w:widowControl/>
              <w:kinsoku/>
              <w:wordWrap/>
              <w:overflowPunct/>
              <w:topLinePunct w:val="0"/>
              <w:autoSpaceDE/>
              <w:autoSpaceDN/>
              <w:bidi w:val="0"/>
              <w:adjustRightInd/>
              <w:snapToGrid/>
              <w:spacing w:before="0" w:after="0" w:line="360" w:lineRule="auto"/>
              <w:ind w:right="113"/>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本项目</w:t>
            </w:r>
            <w:r>
              <w:rPr>
                <w:rFonts w:hint="eastAsia"/>
                <w:color w:val="000000" w:themeColor="text1"/>
                <w:sz w:val="24"/>
                <w:lang w:val="en-US" w:eastAsia="zh-CN"/>
                <w14:textFill>
                  <w14:solidFill>
                    <w14:schemeClr w14:val="tx1"/>
                  </w14:solidFill>
                </w14:textFill>
              </w:rPr>
              <w:t>35kV开关站</w:t>
            </w:r>
            <w:r>
              <w:rPr>
                <w:rFonts w:hint="eastAsia"/>
                <w:color w:val="000000" w:themeColor="text1"/>
                <w:sz w:val="24"/>
                <w:szCs w:val="24"/>
                <w:lang w:val="en-US" w:eastAsia="zh-CN"/>
                <w14:textFill>
                  <w14:solidFill>
                    <w14:schemeClr w14:val="tx1"/>
                  </w14:solidFill>
                </w14:textFill>
              </w:rPr>
              <w:t>为无人值守，运营期无废水产生。</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3</w:t>
            </w:r>
            <w:r>
              <w:rPr>
                <w:rFonts w:hint="eastAsia"/>
                <w:b/>
                <w:bCs/>
                <w:color w:val="000000" w:themeColor="text1"/>
                <w:sz w:val="24"/>
                <w:lang w:eastAsia="zh-CN"/>
                <w14:textFill>
                  <w14:solidFill>
                    <w14:schemeClr w14:val="tx1"/>
                  </w14:solidFill>
                </w14:textFill>
              </w:rPr>
              <w:t>）</w:t>
            </w:r>
            <w:r>
              <w:rPr>
                <w:rFonts w:ascii="Times New Roman" w:hAnsi="Times New Roman"/>
                <w:b/>
                <w:bCs/>
                <w:color w:val="000000" w:themeColor="text1"/>
                <w:sz w:val="24"/>
                <w14:textFill>
                  <w14:solidFill>
                    <w14:schemeClr w14:val="tx1"/>
                  </w14:solidFill>
                </w14:textFill>
              </w:rPr>
              <w:t>声环境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olor w:val="000000" w:themeColor="text1"/>
                <w:kern w:val="0"/>
                <w:sz w:val="24"/>
                <w:szCs w:val="24"/>
                <w:lang w:bidi="ar"/>
                <w14:textFill>
                  <w14:solidFill>
                    <w14:schemeClr w14:val="tx1"/>
                  </w14:solidFill>
                </w14:textFill>
              </w:rPr>
            </w:pPr>
            <w:r>
              <w:rPr>
                <w:rFonts w:ascii="Times New Roman" w:hAnsi="Times New Roman"/>
                <w:color w:val="000000" w:themeColor="text1"/>
                <w:kern w:val="0"/>
                <w:sz w:val="24"/>
                <w:szCs w:val="24"/>
                <w:lang w:bidi="ar"/>
                <w14:textFill>
                  <w14:solidFill>
                    <w14:schemeClr w14:val="tx1"/>
                  </w14:solidFill>
                </w14:textFill>
              </w:rPr>
              <w:t>本项目运营期主要噪声</w:t>
            </w:r>
            <w:r>
              <w:rPr>
                <w:rFonts w:hint="eastAsia"/>
                <w:color w:val="000000" w:themeColor="text1"/>
                <w:kern w:val="0"/>
                <w:sz w:val="24"/>
                <w:szCs w:val="24"/>
                <w:lang w:val="en-US" w:eastAsia="zh-CN" w:bidi="ar"/>
                <w14:textFill>
                  <w14:solidFill>
                    <w14:schemeClr w14:val="tx1"/>
                  </w14:solidFill>
                </w14:textFill>
              </w:rPr>
              <w:t>为</w:t>
            </w:r>
            <w:r>
              <w:rPr>
                <w:rFonts w:ascii="Times New Roman" w:hAnsi="Times New Roman"/>
                <w:color w:val="000000" w:themeColor="text1"/>
                <w:kern w:val="0"/>
                <w:sz w:val="24"/>
                <w:szCs w:val="24"/>
                <w:lang w:bidi="ar"/>
                <w14:textFill>
                  <w14:solidFill>
                    <w14:schemeClr w14:val="tx1"/>
                  </w14:solidFill>
                </w14:textFill>
              </w:rPr>
              <w:t>风电场风力机组的噪声和</w:t>
            </w:r>
            <w:r>
              <w:rPr>
                <w:rFonts w:hint="eastAsia"/>
                <w:color w:val="000000" w:themeColor="text1"/>
                <w:sz w:val="24"/>
                <w:szCs w:val="24"/>
                <w:lang w:val="en-US" w:eastAsia="zh-CN"/>
                <w14:textFill>
                  <w14:solidFill>
                    <w14:schemeClr w14:val="tx1"/>
                  </w14:solidFill>
                </w14:textFill>
              </w:rPr>
              <w:t>35</w:t>
            </w:r>
            <w:r>
              <w:rPr>
                <w:rFonts w:ascii="Times New Roman" w:hAnsi="Times New Roman"/>
                <w:color w:val="000000" w:themeColor="text1"/>
                <w:sz w:val="24"/>
                <w:szCs w:val="24"/>
                <w14:textFill>
                  <w14:solidFill>
                    <w14:schemeClr w14:val="tx1"/>
                  </w14:solidFill>
                </w14:textFill>
              </w:rPr>
              <w:t>kV</w:t>
            </w:r>
            <w:r>
              <w:rPr>
                <w:rFonts w:hint="eastAsia"/>
                <w:color w:val="000000" w:themeColor="text1"/>
                <w:sz w:val="24"/>
                <w:szCs w:val="24"/>
                <w:lang w:val="en-US" w:eastAsia="zh-CN"/>
                <w14:textFill>
                  <w14:solidFill>
                    <w14:schemeClr w14:val="tx1"/>
                  </w14:solidFill>
                </w14:textFill>
              </w:rPr>
              <w:t>开关站</w:t>
            </w:r>
            <w:r>
              <w:rPr>
                <w:rFonts w:ascii="Times New Roman" w:hAnsi="Times New Roman"/>
                <w:color w:val="000000" w:themeColor="text1"/>
                <w:sz w:val="24"/>
                <w:szCs w:val="24"/>
                <w14:textFill>
                  <w14:solidFill>
                    <w14:schemeClr w14:val="tx1"/>
                  </w14:solidFill>
                </w14:textFill>
              </w:rPr>
              <w:t>噪声</w:t>
            </w:r>
            <w:r>
              <w:rPr>
                <w:rFonts w:ascii="Times New Roman" w:hAnsi="Times New Roman"/>
                <w:color w:val="000000" w:themeColor="text1"/>
                <w:kern w:val="0"/>
                <w:sz w:val="24"/>
                <w:szCs w:val="24"/>
                <w:lang w:bidi="ar"/>
                <w14:textFill>
                  <w14:solidFill>
                    <w14:schemeClr w14:val="tx1"/>
                  </w14:solidFill>
                </w14:textFill>
              </w:rPr>
              <w:t>。</w:t>
            </w:r>
          </w:p>
          <w:p>
            <w:pPr>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风机声环境影响分析</w:t>
            </w:r>
          </w:p>
          <w:p>
            <w:pPr>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①</w:t>
            </w:r>
            <w:r>
              <w:rPr>
                <w:rFonts w:ascii="Times New Roman" w:hAnsi="Times New Roman"/>
                <w:color w:val="000000" w:themeColor="text1"/>
                <w:sz w:val="24"/>
                <w:szCs w:val="24"/>
                <w14:textFill>
                  <w14:solidFill>
                    <w14:schemeClr w14:val="tx1"/>
                  </w14:solidFill>
                </w14:textFill>
              </w:rPr>
              <w:t>噪声源强</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风电机组噪声分为机械噪声和空气动力学噪声。机械噪声主要来自齿轮箱、轴承、电机，空气动力学噪声产生于风电机组叶片与空气撞击引起的压力脉动，其中的空气动力学噪声是主要的噪声来源。根据《中国环境科学》2012年5月浙江大学</w:t>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HYPERLINK "http://yuanjian.cnki.com.cn/Search/Result?unit=%E6%B5%99%E6%B1%9F%E5%A4%A7%E5%AD%A6%E7%8E%AF%E5%A2%83%E4%B8%8E%E8%B5%84%E6%BA%90%E5%AD%A6%E9%99%A2%E7%8E%AF%E5%A2%83%E7%A7%91%E5%AD%A6%E7%B3%BB;" \t "http://www.cnki.com.cn/Article/_blank"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环境与资源学院环境科学系</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t>编制的《风电机组噪声预测》，在</w:t>
            </w:r>
            <w:r>
              <w:rPr>
                <w:rFonts w:hint="eastAsia" w:ascii="Times New Roman" w:hAnsi="Times New Roman"/>
                <w:color w:val="000000" w:themeColor="text1"/>
                <w:sz w:val="24"/>
                <w:szCs w:val="24"/>
                <w14:textFill>
                  <w14:solidFill>
                    <w14:schemeClr w14:val="tx1"/>
                  </w14:solidFill>
                </w14:textFill>
              </w:rPr>
              <w:t>典型</w:t>
            </w:r>
            <w:r>
              <w:rPr>
                <w:rFonts w:ascii="Times New Roman" w:hAnsi="Times New Roman"/>
                <w:color w:val="000000" w:themeColor="text1"/>
                <w:sz w:val="24"/>
                <w:szCs w:val="24"/>
                <w14:textFill>
                  <w14:solidFill>
                    <w14:schemeClr w14:val="tx1"/>
                  </w14:solidFill>
                </w14:textFill>
              </w:rPr>
              <w:t>风速（</w:t>
            </w:r>
            <w:r>
              <w:rPr>
                <w:rFonts w:hint="eastAsia" w:ascii="Times New Roman" w:hAnsi="Times New Roman"/>
                <w:color w:val="000000" w:themeColor="text1"/>
                <w:sz w:val="24"/>
                <w:szCs w:val="24"/>
                <w14:textFill>
                  <w14:solidFill>
                    <w14:schemeClr w14:val="tx1"/>
                  </w14:solidFill>
                </w14:textFill>
              </w:rPr>
              <w:t>8</w:t>
            </w:r>
            <w:r>
              <w:rPr>
                <w:rFonts w:ascii="Times New Roman" w:hAnsi="Times New Roman"/>
                <w:color w:val="000000" w:themeColor="text1"/>
                <w:sz w:val="24"/>
                <w:szCs w:val="24"/>
                <w14:textFill>
                  <w14:solidFill>
                    <w14:schemeClr w14:val="tx1"/>
                  </w14:solidFill>
                </w14:textFill>
              </w:rPr>
              <w:t>m/s）下，兆瓦级以下的风电机组声功率级在100～106dB(A)之间，其噪声呈现明显的低频特性。本次评价</w:t>
            </w:r>
            <w:r>
              <w:rPr>
                <w:rFonts w:hint="eastAsia" w:ascii="Times New Roman" w:hAnsi="Times New Roman"/>
                <w:color w:val="000000" w:themeColor="text1"/>
                <w:sz w:val="24"/>
                <w:szCs w:val="24"/>
                <w14:textFill>
                  <w14:solidFill>
                    <w14:schemeClr w14:val="tx1"/>
                  </w14:solidFill>
                </w14:textFill>
              </w:rPr>
              <w:t>预测在风机切出风速</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20</w:t>
            </w:r>
            <w:r>
              <w:rPr>
                <w:rFonts w:ascii="Times New Roman" w:hAnsi="Times New Roman"/>
                <w:color w:val="000000" w:themeColor="text1"/>
                <w:sz w:val="24"/>
                <w:szCs w:val="24"/>
                <w14:textFill>
                  <w14:solidFill>
                    <w14:schemeClr w14:val="tx1"/>
                  </w14:solidFill>
                </w14:textFill>
              </w:rPr>
              <w:t>m/s）下，单个风电机组声功率级取106dB(A）。</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本风电场设计安装</w:t>
            </w:r>
            <w:r>
              <w:rPr>
                <w:rFonts w:hint="eastAsia"/>
                <w:color w:val="000000" w:themeColor="text1"/>
                <w:sz w:val="24"/>
                <w:szCs w:val="24"/>
                <w:lang w:val="en-US" w:eastAsia="zh-CN"/>
                <w14:textFill>
                  <w14:solidFill>
                    <w14:schemeClr w14:val="tx1"/>
                  </w14:solidFill>
                </w14:textFill>
              </w:rPr>
              <w:t>8</w:t>
            </w:r>
            <w:r>
              <w:rPr>
                <w:rFonts w:ascii="Times New Roman" w:hAnsi="Times New Roman"/>
                <w:color w:val="000000" w:themeColor="text1"/>
                <w:sz w:val="24"/>
                <w:szCs w:val="24"/>
                <w14:textFill>
                  <w14:solidFill>
                    <w14:schemeClr w14:val="tx1"/>
                  </w14:solidFill>
                </w14:textFill>
              </w:rPr>
              <w:t>台风力发电机组，单机2500kW，风机叶轮转速较低，产生的噪声相对较小。</w:t>
            </w:r>
            <w:r>
              <w:rPr>
                <w:rFonts w:hint="eastAsia" w:ascii="Times New Roman" w:hAnsi="Times New Roman"/>
                <w:color w:val="000000" w:themeColor="text1"/>
                <w:sz w:val="24"/>
                <w:szCs w:val="24"/>
                <w14:textFill>
                  <w14:solidFill>
                    <w14:schemeClr w14:val="tx1"/>
                  </w14:solidFill>
                </w14:textFill>
              </w:rPr>
              <w:t>本次</w:t>
            </w:r>
            <w:r>
              <w:rPr>
                <w:rFonts w:ascii="Times New Roman" w:hAnsi="Times New Roman"/>
                <w:color w:val="000000" w:themeColor="text1"/>
                <w:sz w:val="24"/>
                <w:szCs w:val="24"/>
                <w14:textFill>
                  <w14:solidFill>
                    <w14:schemeClr w14:val="tx1"/>
                  </w14:solidFill>
                </w14:textFill>
              </w:rPr>
              <w:t>考虑最不利情况，预测时单机噪声源强取10</w:t>
            </w:r>
            <w:r>
              <w:rPr>
                <w:rFonts w:hint="eastAsia"/>
                <w:color w:val="000000" w:themeColor="text1"/>
                <w:sz w:val="24"/>
                <w:szCs w:val="24"/>
                <w:lang w:val="en-US" w:eastAsia="zh-CN"/>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dB（A）。</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②</w:t>
            </w:r>
            <w:r>
              <w:rPr>
                <w:rFonts w:ascii="Times New Roman" w:hAnsi="Times New Roman"/>
                <w:color w:val="000000" w:themeColor="text1"/>
                <w:sz w:val="24"/>
                <w:szCs w:val="24"/>
                <w14:textFill>
                  <w14:solidFill>
                    <w14:schemeClr w14:val="tx1"/>
                  </w14:solidFill>
                </w14:textFill>
              </w:rPr>
              <w:t>预测方案</w:t>
            </w:r>
          </w:p>
          <w:p>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ascii="Times New Roman" w:hAnsi="Times New Roman"/>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A.</w:t>
            </w:r>
            <w:r>
              <w:rPr>
                <w:rFonts w:ascii="Times New Roman" w:hAnsi="Times New Roman"/>
                <w:color w:val="000000" w:themeColor="text1"/>
                <w:sz w:val="24"/>
                <w:szCs w:val="24"/>
                <w14:textFill>
                  <w14:solidFill>
                    <w14:schemeClr w14:val="tx1"/>
                  </w14:solidFill>
                </w14:textFill>
              </w:rPr>
              <w:t>风电场运行期的噪声影响又分为单机影响和机群影响。本项目风力发电机机群的排列是根据测风塔所测得当地风场参数确定，风机分布间距不小于3.5D（D为风机直径</w:t>
            </w:r>
            <w:r>
              <w:rPr>
                <w:rFonts w:hint="eastAsia"/>
                <w:color w:val="000000" w:themeColor="text1"/>
                <w:sz w:val="24"/>
                <w:szCs w:val="24"/>
                <w:lang w:val="en-US" w:eastAsia="zh-CN"/>
                <w14:textFill>
                  <w14:solidFill>
                    <w14:schemeClr w14:val="tx1"/>
                  </w14:solidFill>
                </w14:textFill>
              </w:rPr>
              <w:t>147</w:t>
            </w:r>
            <w:r>
              <w:rPr>
                <w:rFonts w:ascii="Times New Roman" w:hAnsi="Times New Roman"/>
                <w:color w:val="000000" w:themeColor="text1"/>
                <w:sz w:val="24"/>
                <w:szCs w:val="24"/>
                <w14:textFill>
                  <w14:solidFill>
                    <w14:schemeClr w14:val="tx1"/>
                  </w14:solidFill>
                </w14:textFill>
              </w:rPr>
              <w:t>m），即</w:t>
            </w:r>
            <w:r>
              <w:rPr>
                <w:rFonts w:hint="eastAsia"/>
                <w:color w:val="000000" w:themeColor="text1"/>
                <w:sz w:val="24"/>
                <w:szCs w:val="24"/>
                <w:lang w:val="en-US" w:eastAsia="zh-CN"/>
                <w14:textFill>
                  <w14:solidFill>
                    <w14:schemeClr w14:val="tx1"/>
                  </w14:solidFill>
                </w14:textFill>
              </w:rPr>
              <w:t>514.5</w:t>
            </w:r>
            <w:r>
              <w:rPr>
                <w:rFonts w:ascii="Times New Roman" w:hAnsi="Times New Roman"/>
                <w:color w:val="000000" w:themeColor="text1"/>
                <w:sz w:val="24"/>
                <w:szCs w:val="24"/>
                <w14:textFill>
                  <w14:solidFill>
                    <w14:schemeClr w14:val="tx1"/>
                  </w14:solidFill>
                </w14:textFill>
              </w:rPr>
              <w:t>m。</w:t>
            </w:r>
          </w:p>
          <w:p>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default" w:ascii="Times New Roman" w:hAnsi="Times New Roman"/>
                <w:color w:val="000000" w:themeColor="text1"/>
                <w:sz w:val="24"/>
                <w:szCs w:val="24"/>
                <w:lang w:val="en-US"/>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通常风机</w:t>
            </w:r>
            <w:r>
              <w:rPr>
                <w:rFonts w:hint="eastAsia"/>
                <w:color w:val="000000" w:themeColor="text1"/>
                <w:sz w:val="24"/>
                <w:szCs w:val="24"/>
                <w:lang w:val="en-US" w:eastAsia="zh-CN"/>
                <w14:textFill>
                  <w14:solidFill>
                    <w14:schemeClr w14:val="tx1"/>
                  </w14:solidFill>
                </w14:textFill>
              </w:rPr>
              <w:t>排列间</w:t>
            </w:r>
            <w:r>
              <w:rPr>
                <w:rFonts w:ascii="Times New Roman" w:hAnsi="Times New Roman"/>
                <w:color w:val="000000" w:themeColor="text1"/>
                <w:sz w:val="24"/>
                <w:szCs w:val="24"/>
                <w14:textFill>
                  <w14:solidFill>
                    <w14:schemeClr w14:val="tx1"/>
                  </w14:solidFill>
                </w14:textFill>
              </w:rPr>
              <w:t>距超过200m时相互之间的影响可以忽略</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本项目风机分布间距最近的为T2号风机和T6号风机，距离为1.010km；因此本次评价不考虑风机之间的相互影响。</w:t>
            </w:r>
          </w:p>
          <w:p>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B.由于风机四周地形开阔，周围村庄距离较远，且风机高度较高（风机配套轮毂距地面高度为1</w:t>
            </w:r>
            <w:r>
              <w:rPr>
                <w:rFonts w:hint="eastAsia"/>
                <w:color w:val="000000" w:themeColor="text1"/>
                <w:sz w:val="24"/>
                <w:szCs w:val="24"/>
                <w:lang w:val="en-US" w:eastAsia="zh-CN"/>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0m），因此不考虑地面植被等引起的噪声衰减、传播中建筑物的阻挡、地面反射作用及空气吸收、雨、雪、温度等影响。</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C.根据《环境影响评价技术导则</w:t>
            </w:r>
            <w:r>
              <w:rPr>
                <w:rFonts w:hint="eastAsia"/>
                <w:color w:val="000000" w:themeColor="text1"/>
                <w:sz w:val="24"/>
                <w:szCs w:val="24"/>
                <w:lang w:val="en-US" w:eastAsia="zh-C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声环境》</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HJ2.4-2009</w:t>
            </w:r>
            <w:r>
              <w:rPr>
                <w:rFonts w:hint="eastAsia"/>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，采用点声源预测模式。</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D.主要预测单个风机在正常运行条件下，噪声贡献值达到《声环境质量标准》（GB3096-2008）</w:t>
            </w:r>
            <w:r>
              <w:rPr>
                <w:rFonts w:hint="eastAsia" w:ascii="Times New Roman" w:hAnsi="Times New Roman"/>
                <w:color w:val="000000" w:themeColor="text1"/>
                <w:sz w:val="24"/>
                <w:szCs w:val="24"/>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类标准要求的距离，分析风机噪声的影响范围。</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③</w:t>
            </w:r>
            <w:r>
              <w:rPr>
                <w:rFonts w:ascii="Times New Roman" w:hAnsi="Times New Roman"/>
                <w:color w:val="000000" w:themeColor="text1"/>
                <w:sz w:val="24"/>
                <w14:textFill>
                  <w14:solidFill>
                    <w14:schemeClr w14:val="tx1"/>
                  </w14:solidFill>
                </w14:textFill>
              </w:rPr>
              <w:t>预测模式</w:t>
            </w:r>
          </w:p>
          <w:p>
            <w:pPr>
              <w:keepNext w:val="0"/>
              <w:keepLines w:val="0"/>
              <w:pageBreakBefore w:val="0"/>
              <w:kinsoku/>
              <w:wordWrap/>
              <w:overflowPunct/>
              <w:topLinePunct w:val="0"/>
              <w:bidi w:val="0"/>
              <w:snapToGrid/>
              <w:spacing w:line="360" w:lineRule="auto"/>
              <w:ind w:firstLine="480" w:firstLineChars="200"/>
              <w:jc w:val="left"/>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根据《环境影响评价技术导则</w:t>
            </w:r>
            <w:r>
              <w:rPr>
                <w:rFonts w:hint="eastAsia"/>
                <w:color w:val="000000" w:themeColor="text1"/>
                <w:sz w:val="24"/>
                <w:szCs w:val="24"/>
                <w:lang w:val="en-US" w:eastAsia="zh-C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声环境》</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HJ2.4-2009</w:t>
            </w:r>
            <w:r>
              <w:rPr>
                <w:rFonts w:hint="eastAsia"/>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，采用</w:t>
            </w:r>
            <w:r>
              <w:rPr>
                <w:rFonts w:hint="eastAsia" w:ascii="Times New Roman" w:hAnsi="Times New Roman"/>
                <w:color w:val="000000" w:themeColor="text1"/>
                <w:sz w:val="24"/>
                <w:szCs w:val="24"/>
                <w:lang w:val="en-US" w:eastAsia="zh-CN"/>
                <w14:textFill>
                  <w14:solidFill>
                    <w14:schemeClr w14:val="tx1"/>
                  </w14:solidFill>
                </w14:textFill>
              </w:rPr>
              <w:t>半</w:t>
            </w:r>
            <w:r>
              <w:rPr>
                <w:rFonts w:ascii="Times New Roman" w:hAnsi="Times New Roman"/>
                <w:color w:val="000000" w:themeColor="text1"/>
                <w:sz w:val="24"/>
                <w:szCs w:val="24"/>
                <w14:textFill>
                  <w14:solidFill>
                    <w14:schemeClr w14:val="tx1"/>
                  </w14:solidFill>
                </w14:textFill>
              </w:rPr>
              <w:t>自由声场点声源几何发散衰减模式预测距声源不同距离处的噪声值。由于风机高度较高，不考虑地面植被等引起的噪声衰减作用。声源衰减公式为：</w:t>
            </w:r>
          </w:p>
          <w:p>
            <w:pPr>
              <w:keepNext w:val="0"/>
              <w:keepLines w:val="0"/>
              <w:pageBreakBefore w:val="0"/>
              <w:kinsoku/>
              <w:wordWrap/>
              <w:overflowPunct/>
              <w:topLinePunct w:val="0"/>
              <w:bidi w:val="0"/>
              <w:snapToGrid/>
              <w:spacing w:line="360" w:lineRule="auto"/>
              <w:ind w:firstLine="2640" w:firstLineChars="1100"/>
              <w:textAlignment w:val="auto"/>
              <w:rPr>
                <w:rFonts w:hint="eastAsia" w:ascii="Times New Roman" w:hAnsi="Times New Roman" w:eastAsia="宋体"/>
                <w:color w:val="000000" w:themeColor="text1"/>
                <w:sz w:val="24"/>
                <w:szCs w:val="24"/>
                <w:lang w:eastAsia="zh-CN"/>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LA(r )= LWA-20 lg(r )-</w:t>
            </w:r>
            <w:r>
              <w:rPr>
                <w:rFonts w:hint="eastAsia" w:eastAsia="宋体"/>
                <w:color w:val="000000" w:themeColor="text1"/>
                <w:sz w:val="24"/>
                <w:szCs w:val="24"/>
                <w:lang w:val="en-US" w:eastAsia="zh-CN"/>
                <w14:textFill>
                  <w14:solidFill>
                    <w14:schemeClr w14:val="tx1"/>
                  </w14:solidFill>
                </w14:textFill>
              </w:rPr>
              <w:t>8</w:t>
            </w:r>
          </w:p>
          <w:p>
            <w:pPr>
              <w:keepNext w:val="0"/>
              <w:keepLines w:val="0"/>
              <w:pageBreakBefore w:val="0"/>
              <w:kinsoku/>
              <w:wordWrap/>
              <w:overflowPunct/>
              <w:topLinePunct w:val="0"/>
              <w:bidi w:val="0"/>
              <w:snapToGrid/>
              <w:spacing w:line="360" w:lineRule="auto"/>
              <w:ind w:firstLine="1920" w:firstLineChars="80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式中：</w:t>
            </w:r>
            <w:r>
              <w:rPr>
                <w:rFonts w:ascii="Times New Roman" w:hAnsi="Times New Roman" w:eastAsia="Times New Roman"/>
                <w:color w:val="000000" w:themeColor="text1"/>
                <w:sz w:val="24"/>
                <w:szCs w:val="24"/>
                <w14:textFill>
                  <w14:solidFill>
                    <w14:schemeClr w14:val="tx1"/>
                  </w14:solidFill>
                </w14:textFill>
              </w:rPr>
              <w:t>LA(r )</w:t>
            </w:r>
            <w:r>
              <w:rPr>
                <w:rFonts w:ascii="Times New Roman" w:hAnsi="Times New Roman"/>
                <w:color w:val="000000" w:themeColor="text1"/>
                <w:sz w:val="24"/>
                <w:szCs w:val="24"/>
                <w14:textFill>
                  <w14:solidFill>
                    <w14:schemeClr w14:val="tx1"/>
                  </w14:solidFill>
                </w14:textFill>
              </w:rPr>
              <w:t>—距离声源</w:t>
            </w:r>
            <w:r>
              <w:rPr>
                <w:rFonts w:ascii="Times New Roman" w:hAnsi="Times New Roman" w:eastAsia="Times New Roman"/>
                <w:color w:val="000000" w:themeColor="text1"/>
                <w:sz w:val="24"/>
                <w:szCs w:val="24"/>
                <w14:textFill>
                  <w14:solidFill>
                    <w14:schemeClr w14:val="tx1"/>
                  </w14:solidFill>
                </w14:textFill>
              </w:rPr>
              <w:t>r</w:t>
            </w:r>
            <w:r>
              <w:rPr>
                <w:rFonts w:ascii="Times New Roman" w:hAnsi="Times New Roman"/>
                <w:color w:val="000000" w:themeColor="text1"/>
                <w:sz w:val="24"/>
                <w:szCs w:val="24"/>
                <w14:textFill>
                  <w14:solidFill>
                    <w14:schemeClr w14:val="tx1"/>
                  </w14:solidFill>
                </w14:textFill>
              </w:rPr>
              <w:t>处的</w:t>
            </w:r>
            <w:r>
              <w:rPr>
                <w:rFonts w:ascii="Times New Roman" w:hAnsi="Times New Roman" w:eastAsia="Times New Roman"/>
                <w:color w:val="000000" w:themeColor="text1"/>
                <w:sz w:val="24"/>
                <w:szCs w:val="24"/>
                <w14:textFill>
                  <w14:solidFill>
                    <w14:schemeClr w14:val="tx1"/>
                  </w14:solidFill>
                </w14:textFill>
              </w:rPr>
              <w:t>A</w:t>
            </w:r>
            <w:r>
              <w:rPr>
                <w:rFonts w:ascii="Times New Roman" w:hAnsi="Times New Roman"/>
                <w:color w:val="000000" w:themeColor="text1"/>
                <w:sz w:val="24"/>
                <w:szCs w:val="24"/>
                <w14:textFill>
                  <w14:solidFill>
                    <w14:schemeClr w14:val="tx1"/>
                  </w14:solidFill>
                </w14:textFill>
              </w:rPr>
              <w:t>声级，</w:t>
            </w:r>
            <w:r>
              <w:rPr>
                <w:rFonts w:ascii="Times New Roman" w:hAnsi="Times New Roman" w:eastAsia="Times New Roman"/>
                <w:color w:val="000000" w:themeColor="text1"/>
                <w:sz w:val="24"/>
                <w:szCs w:val="24"/>
                <w14:textFill>
                  <w14:solidFill>
                    <w14:schemeClr w14:val="tx1"/>
                  </w14:solidFill>
                </w14:textFill>
              </w:rPr>
              <w:t>dB(A)</w:t>
            </w:r>
            <w:r>
              <w:rPr>
                <w:rFonts w:ascii="Times New Roman" w:hAnsi="Times New Roman"/>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snapToGrid/>
              <w:spacing w:line="360" w:lineRule="auto"/>
              <w:ind w:firstLine="2640" w:firstLineChars="110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LAw</w:t>
            </w:r>
            <w:r>
              <w:rPr>
                <w:rFonts w:ascii="Times New Roman" w:hAnsi="Times New Roman"/>
                <w:color w:val="000000" w:themeColor="text1"/>
                <w:sz w:val="24"/>
                <w:szCs w:val="24"/>
                <w14:textFill>
                  <w14:solidFill>
                    <w14:schemeClr w14:val="tx1"/>
                  </w14:solidFill>
                </w14:textFill>
              </w:rPr>
              <w:t>—噪声源声功率级，</w:t>
            </w:r>
            <w:r>
              <w:rPr>
                <w:rFonts w:ascii="Times New Roman" w:hAnsi="Times New Roman" w:eastAsia="Times New Roman"/>
                <w:color w:val="000000" w:themeColor="text1"/>
                <w:sz w:val="24"/>
                <w:szCs w:val="24"/>
                <w14:textFill>
                  <w14:solidFill>
                    <w14:schemeClr w14:val="tx1"/>
                  </w14:solidFill>
                </w14:textFill>
              </w:rPr>
              <w:t>dB(A)</w:t>
            </w:r>
            <w:r>
              <w:rPr>
                <w:rFonts w:ascii="Times New Roman" w:hAnsi="Times New Roman"/>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snapToGrid/>
              <w:spacing w:line="360" w:lineRule="auto"/>
              <w:ind w:firstLine="2640" w:firstLineChars="1100"/>
              <w:textAlignment w:val="auto"/>
              <w:rPr>
                <w:rFonts w:ascii="Times New Roman" w:hAnsi="Times New Roman" w:eastAsia="宋体"/>
                <w:color w:val="000000" w:themeColor="text1"/>
                <w:sz w:val="24"/>
                <w:szCs w:val="24"/>
                <w:lang w:val="zh-CN"/>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r—距声源的距离，</w:t>
            </w:r>
            <w:r>
              <w:rPr>
                <w:rFonts w:ascii="Times New Roman" w:hAnsi="Times New Roman" w:eastAsia="Times New Roman"/>
                <w:color w:val="000000" w:themeColor="text1"/>
                <w:sz w:val="24"/>
                <w:szCs w:val="24"/>
                <w14:textFill>
                  <w14:solidFill>
                    <w14:schemeClr w14:val="tx1"/>
                  </w14:solidFill>
                </w14:textFill>
              </w:rPr>
              <w:t>m</w:t>
            </w:r>
            <w:r>
              <w:rPr>
                <w:rFonts w:ascii="Times New Roman" w:hAnsi="Times New Roman"/>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④</w:t>
            </w:r>
            <w:r>
              <w:rPr>
                <w:rFonts w:ascii="Times New Roman" w:hAnsi="Times New Roman"/>
                <w:color w:val="000000" w:themeColor="text1"/>
                <w:sz w:val="24"/>
                <w14:textFill>
                  <w14:solidFill>
                    <w14:schemeClr w14:val="tx1"/>
                  </w14:solidFill>
                </w14:textFill>
              </w:rPr>
              <w:t>预测结果</w:t>
            </w:r>
          </w:p>
          <w:p>
            <w:pPr>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本项目风机轮毂中心距地面1</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0m，以此处作为预测计算的点声源中心，预测距离地面1.2m处的风电机组噪声贡献值（不考虑预测点与风电机组基底的海拔高度差距）。单个风机随距离衰减预测结果见表</w:t>
            </w:r>
            <w:r>
              <w:rPr>
                <w:rFonts w:hint="eastAsia"/>
                <w:color w:val="000000" w:themeColor="text1"/>
                <w:sz w:val="24"/>
                <w:lang w:val="en-US" w:eastAsia="zh-CN"/>
                <w14:textFill>
                  <w14:solidFill>
                    <w14:schemeClr w14:val="tx1"/>
                  </w14:solidFill>
                </w14:textFill>
              </w:rPr>
              <w:t>4-3</w:t>
            </w:r>
            <w:r>
              <w:rPr>
                <w:rFonts w:ascii="Times New Roman" w:hAnsi="Times New Roman"/>
                <w:color w:val="000000" w:themeColor="text1"/>
                <w:sz w:val="24"/>
                <w14:textFill>
                  <w14:solidFill>
                    <w14:schemeClr w14:val="tx1"/>
                  </w14:solidFill>
                </w14:textFill>
              </w:rPr>
              <w:t>。</w:t>
            </w:r>
          </w:p>
          <w:p>
            <w:pPr>
              <w:pStyle w:val="44"/>
              <w:keepNext w:val="0"/>
              <w:keepLines w:val="0"/>
              <w:pageBreakBefore w:val="0"/>
              <w:kinsoku/>
              <w:wordWrap/>
              <w:overflowPunct/>
              <w:topLinePunct w:val="0"/>
              <w:bidi w:val="0"/>
              <w:snapToGrid/>
              <w:spacing w:line="240" w:lineRule="auto"/>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表</w:t>
            </w:r>
            <w:r>
              <w:rPr>
                <w:rFonts w:hint="eastAsia" w:eastAsia="宋体"/>
                <w:color w:val="000000" w:themeColor="text1"/>
                <w:lang w:val="en-US" w:eastAsia="zh-CN"/>
                <w14:textFill>
                  <w14:solidFill>
                    <w14:schemeClr w14:val="tx1"/>
                  </w14:solidFill>
                </w14:textFill>
              </w:rPr>
              <w:t>4</w:t>
            </w:r>
            <w:r>
              <w:rPr>
                <w:rFonts w:ascii="Times New Roman" w:hAnsi="Times New Roman" w:eastAsia="宋体"/>
                <w:color w:val="000000" w:themeColor="text1"/>
                <w14:textFill>
                  <w14:solidFill>
                    <w14:schemeClr w14:val="tx1"/>
                  </w14:solidFill>
                </w14:textFill>
              </w:rPr>
              <w:t>-</w:t>
            </w:r>
            <w:r>
              <w:rPr>
                <w:rFonts w:hint="eastAsia" w:eastAsia="宋体"/>
                <w:color w:val="000000" w:themeColor="text1"/>
                <w:lang w:val="en-US" w:eastAsia="zh-CN"/>
                <w14:textFill>
                  <w14:solidFill>
                    <w14:schemeClr w14:val="tx1"/>
                  </w14:solidFill>
                </w14:textFill>
              </w:rPr>
              <w:t>3</w:t>
            </w:r>
            <w:r>
              <w:rPr>
                <w:rFonts w:ascii="Times New Roman" w:hAnsi="Times New Roman" w:eastAsia="宋体"/>
                <w:color w:val="000000" w:themeColor="text1"/>
                <w14:textFill>
                  <w14:solidFill>
                    <w14:schemeClr w14:val="tx1"/>
                  </w14:solidFill>
                </w14:textFill>
              </w:rPr>
              <w:t xml:space="preserve"> </w:t>
            </w:r>
            <w:r>
              <w:rPr>
                <w:rFonts w:hint="eastAsia" w:eastAsia="宋体"/>
                <w:color w:val="000000" w:themeColor="text1"/>
                <w:lang w:val="en-US" w:eastAsia="zh-CN"/>
                <w14:textFill>
                  <w14:solidFill>
                    <w14:schemeClr w14:val="tx1"/>
                  </w14:solidFill>
                </w14:textFill>
              </w:rPr>
              <w:t xml:space="preserve"> </w:t>
            </w:r>
            <w:r>
              <w:rPr>
                <w:rFonts w:ascii="Times New Roman" w:hAnsi="Times New Roman" w:eastAsia="宋体"/>
                <w:color w:val="000000" w:themeColor="text1"/>
                <w14:textFill>
                  <w14:solidFill>
                    <w14:schemeClr w14:val="tx1"/>
                  </w14:solidFill>
                </w14:textFill>
              </w:rPr>
              <w:t>单个风电机在地面不同距离处的噪声</w:t>
            </w:r>
            <w:r>
              <w:rPr>
                <w:rFonts w:hint="eastAsia" w:ascii="Times New Roman" w:hAnsi="Times New Roman" w:eastAsia="宋体"/>
                <w:color w:val="000000" w:themeColor="text1"/>
                <w:lang w:val="en-US" w:eastAsia="zh-CN"/>
                <w14:textFill>
                  <w14:solidFill>
                    <w14:schemeClr w14:val="tx1"/>
                  </w14:solidFill>
                </w14:textFill>
              </w:rPr>
              <w:t>贡献值</w:t>
            </w:r>
            <w:r>
              <w:rPr>
                <w:rFonts w:ascii="Times New Roman" w:hAnsi="Times New Roman" w:eastAsia="宋体"/>
                <w:color w:val="000000" w:themeColor="text1"/>
                <w14:textFill>
                  <w14:solidFill>
                    <w14:schemeClr w14:val="tx1"/>
                  </w14:solidFill>
                </w14:textFill>
              </w:rPr>
              <w:t xml:space="preserve">  单位：dB（A）</w:t>
            </w:r>
          </w:p>
          <w:tbl>
            <w:tblPr>
              <w:tblStyle w:val="19"/>
              <w:tblW w:w="8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68"/>
              <w:gridCol w:w="667"/>
              <w:gridCol w:w="613"/>
              <w:gridCol w:w="727"/>
              <w:gridCol w:w="727"/>
              <w:gridCol w:w="727"/>
              <w:gridCol w:w="727"/>
              <w:gridCol w:w="727"/>
              <w:gridCol w:w="728"/>
              <w:gridCol w:w="728"/>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9" w:type="dxa"/>
                  <w:vMerge w:val="restart"/>
                  <w:tcBorders>
                    <w:top w:val="single" w:color="auto" w:sz="12" w:space="0"/>
                  </w:tcBorders>
                  <w:vAlign w:val="center"/>
                </w:tcPr>
                <w:p>
                  <w:pPr>
                    <w:pStyle w:val="44"/>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b w:val="0"/>
                      <w:bCs/>
                      <w:color w:val="000000" w:themeColor="text1"/>
                      <w:sz w:val="21"/>
                      <w:szCs w:val="21"/>
                      <w14:textFill>
                        <w14:solidFill>
                          <w14:schemeClr w14:val="tx1"/>
                        </w14:solidFill>
                      </w14:textFill>
                    </w:rPr>
                  </w:pPr>
                  <w:r>
                    <w:rPr>
                      <w:rFonts w:ascii="Times New Roman" w:hAnsi="Times New Roman" w:eastAsia="宋体"/>
                      <w:b w:val="0"/>
                      <w:bCs/>
                      <w:color w:val="000000" w:themeColor="text1"/>
                      <w:sz w:val="21"/>
                      <w:szCs w:val="21"/>
                      <w14:textFill>
                        <w14:solidFill>
                          <w14:schemeClr w14:val="tx1"/>
                        </w14:solidFill>
                      </w14:textFill>
                    </w:rPr>
                    <w:t>序号</w:t>
                  </w:r>
                </w:p>
              </w:tc>
              <w:tc>
                <w:tcPr>
                  <w:tcW w:w="735" w:type="dxa"/>
                  <w:vMerge w:val="restart"/>
                  <w:tcBorders>
                    <w:top w:val="single" w:color="auto" w:sz="12" w:space="0"/>
                  </w:tcBorders>
                  <w:vAlign w:val="center"/>
                </w:tcPr>
                <w:p>
                  <w:pPr>
                    <w:pStyle w:val="44"/>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b w:val="0"/>
                      <w:bCs/>
                      <w:color w:val="000000" w:themeColor="text1"/>
                      <w:sz w:val="21"/>
                      <w:szCs w:val="21"/>
                      <w14:textFill>
                        <w14:solidFill>
                          <w14:schemeClr w14:val="tx1"/>
                        </w14:solidFill>
                      </w14:textFill>
                    </w:rPr>
                  </w:pPr>
                  <w:r>
                    <w:rPr>
                      <w:rFonts w:ascii="Times New Roman" w:hAnsi="Times New Roman" w:eastAsia="宋体"/>
                      <w:b w:val="0"/>
                      <w:bCs/>
                      <w:color w:val="000000" w:themeColor="text1"/>
                      <w:sz w:val="21"/>
                      <w:szCs w:val="21"/>
                      <w14:textFill>
                        <w14:solidFill>
                          <w14:schemeClr w14:val="tx1"/>
                        </w14:solidFill>
                      </w14:textFill>
                    </w:rPr>
                    <w:t>噪声源</w:t>
                  </w:r>
                </w:p>
              </w:tc>
              <w:tc>
                <w:tcPr>
                  <w:tcW w:w="7144" w:type="dxa"/>
                  <w:gridSpan w:val="10"/>
                  <w:tcBorders>
                    <w:top w:val="single" w:color="auto" w:sz="12" w:space="0"/>
                    <w:right w:val="single" w:color="auto" w:sz="12" w:space="0"/>
                  </w:tcBorders>
                  <w:vAlign w:val="center"/>
                </w:tcPr>
                <w:p>
                  <w:pPr>
                    <w:pStyle w:val="44"/>
                    <w:keepNext w:val="0"/>
                    <w:keepLines w:val="0"/>
                    <w:pageBreakBefore w:val="0"/>
                    <w:kinsoku/>
                    <w:wordWrap/>
                    <w:overflowPunct/>
                    <w:topLinePunct w:val="0"/>
                    <w:bidi w:val="0"/>
                    <w:snapToGrid/>
                    <w:spacing w:line="240" w:lineRule="auto"/>
                    <w:ind w:firstLine="420"/>
                    <w:jc w:val="center"/>
                    <w:textAlignment w:val="auto"/>
                    <w:rPr>
                      <w:rFonts w:ascii="Times New Roman" w:hAnsi="Times New Roman" w:eastAsia="宋体"/>
                      <w:b w:val="0"/>
                      <w:bCs/>
                      <w:color w:val="000000" w:themeColor="text1"/>
                      <w:sz w:val="21"/>
                      <w:szCs w:val="21"/>
                      <w14:textFill>
                        <w14:solidFill>
                          <w14:schemeClr w14:val="tx1"/>
                        </w14:solidFill>
                      </w14:textFill>
                    </w:rPr>
                  </w:pPr>
                  <w:r>
                    <w:rPr>
                      <w:rFonts w:ascii="Times New Roman" w:hAnsi="Times New Roman" w:eastAsia="宋体"/>
                      <w:b w:val="0"/>
                      <w:bCs/>
                      <w:color w:val="000000" w:themeColor="text1"/>
                      <w:sz w:val="21"/>
                      <w:szCs w:val="21"/>
                      <w14:textFill>
                        <w14:solidFill>
                          <w14:schemeClr w14:val="tx1"/>
                        </w14:solidFill>
                      </w14:textFill>
                    </w:rPr>
                    <w:t>噪声预测值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319" w:type="dxa"/>
                  <w:vMerge w:val="continue"/>
                  <w:tcBorders>
                    <w:left w:val="single" w:color="auto" w:sz="4" w:space="0"/>
                  </w:tcBorders>
                  <w:vAlign w:val="center"/>
                </w:tcPr>
                <w:p>
                  <w:pPr>
                    <w:pStyle w:val="44"/>
                    <w:keepNext w:val="0"/>
                    <w:keepLines w:val="0"/>
                    <w:pageBreakBefore w:val="0"/>
                    <w:kinsoku/>
                    <w:wordWrap/>
                    <w:overflowPunct/>
                    <w:topLinePunct w:val="0"/>
                    <w:bidi w:val="0"/>
                    <w:snapToGrid/>
                    <w:spacing w:line="240" w:lineRule="auto"/>
                    <w:ind w:firstLine="420"/>
                    <w:jc w:val="center"/>
                    <w:textAlignment w:val="auto"/>
                    <w:rPr>
                      <w:rFonts w:ascii="Times New Roman" w:hAnsi="Times New Roman" w:eastAsia="宋体"/>
                      <w:b w:val="0"/>
                      <w:bCs/>
                      <w:color w:val="000000" w:themeColor="text1"/>
                      <w:sz w:val="21"/>
                      <w:szCs w:val="21"/>
                      <w14:textFill>
                        <w14:solidFill>
                          <w14:schemeClr w14:val="tx1"/>
                        </w14:solidFill>
                      </w14:textFill>
                    </w:rPr>
                  </w:pPr>
                </w:p>
              </w:tc>
              <w:tc>
                <w:tcPr>
                  <w:tcW w:w="735" w:type="dxa"/>
                  <w:vMerge w:val="continue"/>
                  <w:vAlign w:val="center"/>
                </w:tcPr>
                <w:p>
                  <w:pPr>
                    <w:pStyle w:val="44"/>
                    <w:keepNext w:val="0"/>
                    <w:keepLines w:val="0"/>
                    <w:pageBreakBefore w:val="0"/>
                    <w:kinsoku/>
                    <w:wordWrap/>
                    <w:overflowPunct/>
                    <w:topLinePunct w:val="0"/>
                    <w:bidi w:val="0"/>
                    <w:snapToGrid/>
                    <w:spacing w:line="240" w:lineRule="auto"/>
                    <w:ind w:firstLine="420"/>
                    <w:jc w:val="center"/>
                    <w:textAlignment w:val="auto"/>
                    <w:rPr>
                      <w:rFonts w:ascii="Times New Roman" w:hAnsi="Times New Roman" w:eastAsia="宋体"/>
                      <w:b w:val="0"/>
                      <w:bCs/>
                      <w:color w:val="000000" w:themeColor="text1"/>
                      <w:sz w:val="21"/>
                      <w:szCs w:val="21"/>
                      <w14:textFill>
                        <w14:solidFill>
                          <w14:schemeClr w14:val="tx1"/>
                        </w14:solidFill>
                      </w14:textFill>
                    </w:rPr>
                  </w:pPr>
                </w:p>
              </w:tc>
              <w:tc>
                <w:tcPr>
                  <w:tcW w:w="683" w:type="dxa"/>
                  <w:vAlign w:val="center"/>
                </w:tcPr>
                <w:p>
                  <w:pPr>
                    <w:keepNext w:val="0"/>
                    <w:keepLines w:val="0"/>
                    <w:pageBreakBefore w:val="0"/>
                    <w:kinsoku/>
                    <w:wordWrap/>
                    <w:overflowPunct/>
                    <w:topLinePunct w:val="0"/>
                    <w:bidi w:val="0"/>
                    <w:adjustRightInd w:val="0"/>
                    <w:snapToGrid/>
                    <w:spacing w:line="240" w:lineRule="auto"/>
                    <w:ind w:firstLine="0" w:firstLineChars="0"/>
                    <w:jc w:val="center"/>
                    <w:textAlignment w:val="auto"/>
                    <w:rPr>
                      <w:rFonts w:hint="eastAsia" w:ascii="Times New Roman" w:hAnsi="Times New Roman"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2"/>
                      <w:szCs w:val="22"/>
                      <w14:textFill>
                        <w14:solidFill>
                          <w14:schemeClr w14:val="tx1"/>
                        </w14:solidFill>
                      </w14:textFill>
                    </w:rPr>
                    <w:t>50</w:t>
                  </w:r>
                  <w:r>
                    <w:rPr>
                      <w:rFonts w:hint="eastAsia"/>
                      <w:b w:val="0"/>
                      <w:bCs/>
                      <w:color w:val="000000" w:themeColor="text1"/>
                      <w:sz w:val="22"/>
                      <w:szCs w:val="22"/>
                      <w:lang w:val="en-US" w:eastAsia="zh-CN"/>
                      <w14:textFill>
                        <w14:solidFill>
                          <w14:schemeClr w14:val="tx1"/>
                        </w14:solidFill>
                      </w14:textFill>
                    </w:rPr>
                    <w:t>m</w:t>
                  </w:r>
                </w:p>
              </w:tc>
              <w:tc>
                <w:tcPr>
                  <w:tcW w:w="615" w:type="dxa"/>
                  <w:vAlign w:val="center"/>
                </w:tcPr>
                <w:p>
                  <w:pPr>
                    <w:keepNext w:val="0"/>
                    <w:keepLines w:val="0"/>
                    <w:pageBreakBefore w:val="0"/>
                    <w:kinsoku/>
                    <w:wordWrap/>
                    <w:overflowPunct/>
                    <w:topLinePunct w:val="0"/>
                    <w:bidi w:val="0"/>
                    <w:adjustRightInd w:val="0"/>
                    <w:snapToGrid/>
                    <w:spacing w:line="240" w:lineRule="auto"/>
                    <w:ind w:firstLine="0" w:firstLineChars="0"/>
                    <w:jc w:val="center"/>
                    <w:textAlignment w:val="auto"/>
                    <w:rPr>
                      <w:rFonts w:hint="eastAsia" w:ascii="Times New Roman" w:hAnsi="Times New Roman"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2"/>
                      <w:szCs w:val="22"/>
                      <w14:textFill>
                        <w14:solidFill>
                          <w14:schemeClr w14:val="tx1"/>
                        </w14:solidFill>
                      </w14:textFill>
                    </w:rPr>
                    <w:t>56</w:t>
                  </w:r>
                  <w:r>
                    <w:rPr>
                      <w:rFonts w:hint="eastAsia"/>
                      <w:b w:val="0"/>
                      <w:bCs/>
                      <w:color w:val="000000" w:themeColor="text1"/>
                      <w:sz w:val="22"/>
                      <w:szCs w:val="22"/>
                      <w:lang w:val="en-US" w:eastAsia="zh-CN"/>
                      <w14:textFill>
                        <w14:solidFill>
                          <w14:schemeClr w14:val="tx1"/>
                        </w14:solidFill>
                      </w14:textFill>
                    </w:rPr>
                    <w:t>m</w:t>
                  </w:r>
                </w:p>
              </w:tc>
              <w:tc>
                <w:tcPr>
                  <w:tcW w:w="730" w:type="dxa"/>
                  <w:vAlign w:val="center"/>
                </w:tcPr>
                <w:p>
                  <w:pPr>
                    <w:keepNext w:val="0"/>
                    <w:keepLines w:val="0"/>
                    <w:pageBreakBefore w:val="0"/>
                    <w:kinsoku/>
                    <w:wordWrap/>
                    <w:overflowPunct/>
                    <w:topLinePunct w:val="0"/>
                    <w:bidi w:val="0"/>
                    <w:adjustRightInd w:val="0"/>
                    <w:snapToGrid/>
                    <w:spacing w:line="240" w:lineRule="auto"/>
                    <w:ind w:firstLine="0" w:firstLineChars="0"/>
                    <w:jc w:val="center"/>
                    <w:textAlignment w:val="auto"/>
                    <w:rPr>
                      <w:rFonts w:hint="eastAsia" w:ascii="Times New Roman" w:hAnsi="Times New Roman"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2"/>
                      <w:szCs w:val="22"/>
                      <w14:textFill>
                        <w14:solidFill>
                          <w14:schemeClr w14:val="tx1"/>
                        </w14:solidFill>
                      </w14:textFill>
                    </w:rPr>
                    <w:t>100</w:t>
                  </w:r>
                  <w:r>
                    <w:rPr>
                      <w:rFonts w:hint="eastAsia"/>
                      <w:b w:val="0"/>
                      <w:bCs/>
                      <w:color w:val="000000" w:themeColor="text1"/>
                      <w:sz w:val="22"/>
                      <w:szCs w:val="22"/>
                      <w:lang w:val="en-US" w:eastAsia="zh-CN"/>
                      <w14:textFill>
                        <w14:solidFill>
                          <w14:schemeClr w14:val="tx1"/>
                        </w14:solidFill>
                      </w14:textFill>
                    </w:rPr>
                    <w:t>m</w:t>
                  </w:r>
                </w:p>
              </w:tc>
              <w:tc>
                <w:tcPr>
                  <w:tcW w:w="730" w:type="dxa"/>
                  <w:vAlign w:val="center"/>
                </w:tcPr>
                <w:p>
                  <w:pPr>
                    <w:keepNext w:val="0"/>
                    <w:keepLines w:val="0"/>
                    <w:pageBreakBefore w:val="0"/>
                    <w:kinsoku/>
                    <w:wordWrap/>
                    <w:overflowPunct/>
                    <w:topLinePunct w:val="0"/>
                    <w:bidi w:val="0"/>
                    <w:adjustRightInd w:val="0"/>
                    <w:snapToGrid/>
                    <w:spacing w:line="240" w:lineRule="auto"/>
                    <w:ind w:firstLine="0" w:firstLineChars="0"/>
                    <w:jc w:val="center"/>
                    <w:textAlignment w:val="auto"/>
                    <w:rPr>
                      <w:rFonts w:hint="eastAsia" w:ascii="Times New Roman" w:hAnsi="Times New Roman"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2"/>
                      <w:szCs w:val="22"/>
                      <w14:textFill>
                        <w14:solidFill>
                          <w14:schemeClr w14:val="tx1"/>
                        </w14:solidFill>
                      </w14:textFill>
                    </w:rPr>
                    <w:t>150</w:t>
                  </w:r>
                  <w:r>
                    <w:rPr>
                      <w:rFonts w:hint="eastAsia"/>
                      <w:b w:val="0"/>
                      <w:bCs/>
                      <w:color w:val="000000" w:themeColor="text1"/>
                      <w:sz w:val="22"/>
                      <w:szCs w:val="22"/>
                      <w:lang w:val="en-US" w:eastAsia="zh-CN"/>
                      <w14:textFill>
                        <w14:solidFill>
                          <w14:schemeClr w14:val="tx1"/>
                        </w14:solidFill>
                      </w14:textFill>
                    </w:rPr>
                    <w:t>m</w:t>
                  </w:r>
                </w:p>
              </w:tc>
              <w:tc>
                <w:tcPr>
                  <w:tcW w:w="730" w:type="dxa"/>
                  <w:vAlign w:val="center"/>
                </w:tcPr>
                <w:p>
                  <w:pPr>
                    <w:keepNext w:val="0"/>
                    <w:keepLines w:val="0"/>
                    <w:pageBreakBefore w:val="0"/>
                    <w:kinsoku/>
                    <w:wordWrap/>
                    <w:overflowPunct/>
                    <w:topLinePunct w:val="0"/>
                    <w:bidi w:val="0"/>
                    <w:adjustRightInd w:val="0"/>
                    <w:snapToGrid/>
                    <w:spacing w:line="240" w:lineRule="auto"/>
                    <w:ind w:firstLine="0" w:firstLineChars="0"/>
                    <w:jc w:val="center"/>
                    <w:textAlignment w:val="auto"/>
                    <w:rPr>
                      <w:rFonts w:hint="eastAsia" w:ascii="Times New Roman" w:hAnsi="Times New Roman"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2"/>
                      <w:szCs w:val="22"/>
                      <w14:textFill>
                        <w14:solidFill>
                          <w14:schemeClr w14:val="tx1"/>
                        </w14:solidFill>
                      </w14:textFill>
                    </w:rPr>
                    <w:t>177</w:t>
                  </w:r>
                  <w:r>
                    <w:rPr>
                      <w:rFonts w:hint="eastAsia"/>
                      <w:b w:val="0"/>
                      <w:bCs/>
                      <w:color w:val="000000" w:themeColor="text1"/>
                      <w:sz w:val="22"/>
                      <w:szCs w:val="22"/>
                      <w:lang w:val="en-US" w:eastAsia="zh-CN"/>
                      <w14:textFill>
                        <w14:solidFill>
                          <w14:schemeClr w14:val="tx1"/>
                        </w14:solidFill>
                      </w14:textFill>
                    </w:rPr>
                    <w:t>m</w:t>
                  </w:r>
                </w:p>
              </w:tc>
              <w:tc>
                <w:tcPr>
                  <w:tcW w:w="730" w:type="dxa"/>
                  <w:vAlign w:val="center"/>
                </w:tcPr>
                <w:p>
                  <w:pPr>
                    <w:keepNext w:val="0"/>
                    <w:keepLines w:val="0"/>
                    <w:pageBreakBefore w:val="0"/>
                    <w:kinsoku/>
                    <w:wordWrap/>
                    <w:overflowPunct/>
                    <w:topLinePunct w:val="0"/>
                    <w:bidi w:val="0"/>
                    <w:adjustRightInd w:val="0"/>
                    <w:snapToGrid/>
                    <w:spacing w:line="240" w:lineRule="auto"/>
                    <w:ind w:firstLine="0" w:firstLineChars="0"/>
                    <w:jc w:val="center"/>
                    <w:textAlignment w:val="auto"/>
                    <w:rPr>
                      <w:rFonts w:hint="eastAsia" w:ascii="Times New Roman" w:hAnsi="Times New Roman"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2"/>
                      <w:szCs w:val="22"/>
                      <w14:textFill>
                        <w14:solidFill>
                          <w14:schemeClr w14:val="tx1"/>
                        </w14:solidFill>
                      </w14:textFill>
                    </w:rPr>
                    <w:t>200</w:t>
                  </w:r>
                  <w:r>
                    <w:rPr>
                      <w:rFonts w:hint="eastAsia"/>
                      <w:b w:val="0"/>
                      <w:bCs/>
                      <w:color w:val="000000" w:themeColor="text1"/>
                      <w:sz w:val="22"/>
                      <w:szCs w:val="22"/>
                      <w:lang w:val="en-US" w:eastAsia="zh-CN"/>
                      <w14:textFill>
                        <w14:solidFill>
                          <w14:schemeClr w14:val="tx1"/>
                        </w14:solidFill>
                      </w14:textFill>
                    </w:rPr>
                    <w:t>m</w:t>
                  </w:r>
                </w:p>
              </w:tc>
              <w:tc>
                <w:tcPr>
                  <w:tcW w:w="730" w:type="dxa"/>
                  <w:vAlign w:val="center"/>
                </w:tcPr>
                <w:p>
                  <w:pPr>
                    <w:keepNext w:val="0"/>
                    <w:keepLines w:val="0"/>
                    <w:pageBreakBefore w:val="0"/>
                    <w:kinsoku/>
                    <w:wordWrap/>
                    <w:overflowPunct/>
                    <w:topLinePunct w:val="0"/>
                    <w:bidi w:val="0"/>
                    <w:adjustRightInd w:val="0"/>
                    <w:snapToGrid/>
                    <w:spacing w:line="240" w:lineRule="auto"/>
                    <w:ind w:firstLine="0" w:firstLineChars="0"/>
                    <w:jc w:val="center"/>
                    <w:textAlignment w:val="auto"/>
                    <w:rPr>
                      <w:rFonts w:hint="eastAsia" w:ascii="Times New Roman" w:hAnsi="Times New Roman"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2"/>
                      <w:szCs w:val="22"/>
                      <w14:textFill>
                        <w14:solidFill>
                          <w14:schemeClr w14:val="tx1"/>
                        </w14:solidFill>
                      </w14:textFill>
                    </w:rPr>
                    <w:t>250</w:t>
                  </w:r>
                  <w:r>
                    <w:rPr>
                      <w:rFonts w:hint="eastAsia"/>
                      <w:b w:val="0"/>
                      <w:bCs/>
                      <w:color w:val="000000" w:themeColor="text1"/>
                      <w:sz w:val="22"/>
                      <w:szCs w:val="22"/>
                      <w:lang w:val="en-US" w:eastAsia="zh-CN"/>
                      <w14:textFill>
                        <w14:solidFill>
                          <w14:schemeClr w14:val="tx1"/>
                        </w14:solidFill>
                      </w14:textFill>
                    </w:rPr>
                    <w:t>m</w:t>
                  </w:r>
                </w:p>
              </w:tc>
              <w:tc>
                <w:tcPr>
                  <w:tcW w:w="730" w:type="dxa"/>
                  <w:tcBorders>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firstLine="0" w:firstLineChars="0"/>
                    <w:jc w:val="center"/>
                    <w:textAlignment w:val="auto"/>
                    <w:rPr>
                      <w:rFonts w:hint="eastAsia" w:ascii="Times New Roman" w:hAnsi="Times New Roman"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2"/>
                      <w:szCs w:val="22"/>
                      <w14:textFill>
                        <w14:solidFill>
                          <w14:schemeClr w14:val="tx1"/>
                        </w14:solidFill>
                      </w14:textFill>
                    </w:rPr>
                    <w:t>300</w:t>
                  </w:r>
                  <w:r>
                    <w:rPr>
                      <w:rFonts w:hint="eastAsia"/>
                      <w:b w:val="0"/>
                      <w:bCs/>
                      <w:color w:val="000000" w:themeColor="text1"/>
                      <w:sz w:val="22"/>
                      <w:szCs w:val="22"/>
                      <w:lang w:val="en-US" w:eastAsia="zh-CN"/>
                      <w14:textFill>
                        <w14:solidFill>
                          <w14:schemeClr w14:val="tx1"/>
                        </w14:solidFill>
                      </w14:textFill>
                    </w:rPr>
                    <w:t>m</w:t>
                  </w:r>
                </w:p>
              </w:tc>
              <w:tc>
                <w:tcPr>
                  <w:tcW w:w="730" w:type="dxa"/>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firstLine="0" w:firstLineChars="0"/>
                    <w:jc w:val="center"/>
                    <w:textAlignment w:val="auto"/>
                    <w:rPr>
                      <w:rFonts w:hint="default" w:eastAsia="宋体"/>
                      <w:b w:val="0"/>
                      <w:bCs/>
                      <w:color w:val="000000" w:themeColor="text1"/>
                      <w:sz w:val="22"/>
                      <w:szCs w:val="22"/>
                      <w:lang w:val="en-US" w:eastAsia="zh-CN"/>
                      <w14:textFill>
                        <w14:solidFill>
                          <w14:schemeClr w14:val="tx1"/>
                        </w14:solidFill>
                      </w14:textFill>
                    </w:rPr>
                  </w:pPr>
                  <w:r>
                    <w:rPr>
                      <w:rFonts w:hint="eastAsia"/>
                      <w:b w:val="0"/>
                      <w:bCs/>
                      <w:color w:val="000000" w:themeColor="text1"/>
                      <w:sz w:val="22"/>
                      <w:szCs w:val="22"/>
                      <w:lang w:val="en-US" w:eastAsia="zh-CN"/>
                      <w14:textFill>
                        <w14:solidFill>
                          <w14:schemeClr w14:val="tx1"/>
                        </w14:solidFill>
                      </w14:textFill>
                    </w:rPr>
                    <w:t>350m</w:t>
                  </w:r>
                </w:p>
              </w:tc>
              <w:tc>
                <w:tcPr>
                  <w:tcW w:w="736" w:type="dxa"/>
                  <w:tcBorders>
                    <w:left w:val="single" w:color="auto" w:sz="4" w:space="0"/>
                    <w:right w:val="single" w:color="auto" w:sz="12" w:space="0"/>
                  </w:tcBorders>
                  <w:vAlign w:val="center"/>
                </w:tcPr>
                <w:p>
                  <w:pPr>
                    <w:keepNext w:val="0"/>
                    <w:keepLines w:val="0"/>
                    <w:pageBreakBefore w:val="0"/>
                    <w:kinsoku/>
                    <w:wordWrap/>
                    <w:overflowPunct/>
                    <w:topLinePunct w:val="0"/>
                    <w:bidi w:val="0"/>
                    <w:adjustRightInd w:val="0"/>
                    <w:snapToGrid/>
                    <w:spacing w:line="240" w:lineRule="auto"/>
                    <w:ind w:firstLine="0" w:firstLineChars="0"/>
                    <w:jc w:val="center"/>
                    <w:textAlignment w:val="auto"/>
                    <w:rPr>
                      <w:rFonts w:hint="default" w:eastAsia="宋体"/>
                      <w:b w:val="0"/>
                      <w:bCs/>
                      <w:color w:val="000000" w:themeColor="text1"/>
                      <w:sz w:val="22"/>
                      <w:szCs w:val="22"/>
                      <w:lang w:val="en-US" w:eastAsia="zh-CN"/>
                      <w14:textFill>
                        <w14:solidFill>
                          <w14:schemeClr w14:val="tx1"/>
                        </w14:solidFill>
                      </w14:textFill>
                    </w:rPr>
                  </w:pPr>
                  <w:r>
                    <w:rPr>
                      <w:rFonts w:hint="eastAsia"/>
                      <w:b w:val="0"/>
                      <w:bCs/>
                      <w:color w:val="000000" w:themeColor="text1"/>
                      <w:sz w:val="22"/>
                      <w:szCs w:val="22"/>
                      <w:lang w:val="en-US" w:eastAsia="zh-CN"/>
                      <w14:textFill>
                        <w14:solidFill>
                          <w14:schemeClr w14:val="tx1"/>
                        </w14:solidFill>
                      </w14:textFill>
                    </w:rPr>
                    <w:t>400m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19" w:type="dxa"/>
                  <w:tcBorders>
                    <w:left w:val="single" w:color="auto" w:sz="4" w:space="0"/>
                    <w:bottom w:val="single" w:color="auto" w:sz="12" w:space="0"/>
                  </w:tcBorders>
                  <w:vAlign w:val="center"/>
                </w:tcPr>
                <w:p>
                  <w:pPr>
                    <w:pStyle w:val="44"/>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b w:val="0"/>
                      <w:bCs/>
                      <w:color w:val="000000" w:themeColor="text1"/>
                      <w:sz w:val="21"/>
                      <w:szCs w:val="21"/>
                      <w14:textFill>
                        <w14:solidFill>
                          <w14:schemeClr w14:val="tx1"/>
                        </w14:solidFill>
                      </w14:textFill>
                    </w:rPr>
                  </w:pPr>
                  <w:r>
                    <w:rPr>
                      <w:rFonts w:ascii="Times New Roman" w:hAnsi="Times New Roman" w:eastAsia="宋体"/>
                      <w:b w:val="0"/>
                      <w:bCs/>
                      <w:color w:val="000000" w:themeColor="text1"/>
                      <w:sz w:val="21"/>
                      <w:szCs w:val="21"/>
                      <w14:textFill>
                        <w14:solidFill>
                          <w14:schemeClr w14:val="tx1"/>
                        </w14:solidFill>
                      </w14:textFill>
                    </w:rPr>
                    <w:t>1</w:t>
                  </w:r>
                </w:p>
              </w:tc>
              <w:tc>
                <w:tcPr>
                  <w:tcW w:w="735" w:type="dxa"/>
                  <w:tcBorders>
                    <w:bottom w:val="single" w:color="auto" w:sz="12" w:space="0"/>
                  </w:tcBorders>
                  <w:vAlign w:val="center"/>
                </w:tcPr>
                <w:p>
                  <w:pPr>
                    <w:pStyle w:val="44"/>
                    <w:keepNext w:val="0"/>
                    <w:keepLines w:val="0"/>
                    <w:pageBreakBefore w:val="0"/>
                    <w:kinsoku/>
                    <w:wordWrap/>
                    <w:overflowPunct/>
                    <w:topLinePunct w:val="0"/>
                    <w:bidi w:val="0"/>
                    <w:snapToGrid/>
                    <w:spacing w:line="240" w:lineRule="auto"/>
                    <w:ind w:firstLine="0" w:firstLineChars="0"/>
                    <w:jc w:val="center"/>
                    <w:textAlignment w:val="auto"/>
                    <w:rPr>
                      <w:rFonts w:ascii="Times New Roman" w:hAnsi="Times New Roman" w:eastAsia="宋体"/>
                      <w:b w:val="0"/>
                      <w:bCs/>
                      <w:color w:val="000000" w:themeColor="text1"/>
                      <w:sz w:val="21"/>
                      <w:szCs w:val="21"/>
                      <w14:textFill>
                        <w14:solidFill>
                          <w14:schemeClr w14:val="tx1"/>
                        </w14:solidFill>
                      </w14:textFill>
                    </w:rPr>
                  </w:pPr>
                  <w:r>
                    <w:rPr>
                      <w:rFonts w:ascii="Times New Roman" w:hAnsi="Times New Roman" w:eastAsia="宋体"/>
                      <w:b w:val="0"/>
                      <w:bCs/>
                      <w:color w:val="000000" w:themeColor="text1"/>
                      <w:sz w:val="21"/>
                      <w:szCs w:val="21"/>
                      <w14:textFill>
                        <w14:solidFill>
                          <w14:schemeClr w14:val="tx1"/>
                        </w14:solidFill>
                      </w14:textFill>
                    </w:rPr>
                    <w:t>单台风电机组</w:t>
                  </w:r>
                </w:p>
              </w:tc>
              <w:tc>
                <w:tcPr>
                  <w:tcW w:w="683" w:type="dxa"/>
                  <w:tcBorders>
                    <w:bottom w:val="single" w:color="auto" w:sz="12" w:space="0"/>
                  </w:tcBorders>
                  <w:vAlign w:val="center"/>
                </w:tcPr>
                <w:p>
                  <w:pPr>
                    <w:adjustRightInd w:val="0"/>
                    <w:snapToGrid w:val="0"/>
                    <w:spacing w:line="240" w:lineRule="auto"/>
                    <w:ind w:firstLine="0" w:firstLineChars="0"/>
                    <w:jc w:val="center"/>
                    <w:rPr>
                      <w:rFonts w:hint="default" w:ascii="Times New Roman" w:hAnsi="Times New Roman" w:eastAsia="宋体"/>
                      <w:b w:val="0"/>
                      <w:bCs/>
                      <w:color w:val="000000" w:themeColor="text1"/>
                      <w:sz w:val="21"/>
                      <w:szCs w:val="21"/>
                      <w:lang w:val="en-US" w:eastAsia="zh-CN"/>
                      <w14:textFill>
                        <w14:solidFill>
                          <w14:schemeClr w14:val="tx1"/>
                        </w14:solidFill>
                      </w14:textFill>
                    </w:rPr>
                  </w:pPr>
                  <w:r>
                    <w:rPr>
                      <w:rFonts w:hint="eastAsia"/>
                      <w:b w:val="0"/>
                      <w:bCs/>
                      <w:color w:val="FF0000"/>
                      <w:sz w:val="22"/>
                      <w:szCs w:val="22"/>
                    </w:rPr>
                    <w:t>6</w:t>
                  </w:r>
                  <w:r>
                    <w:rPr>
                      <w:rFonts w:hint="eastAsia"/>
                      <w:b w:val="0"/>
                      <w:bCs/>
                      <w:color w:val="FF0000"/>
                      <w:sz w:val="22"/>
                      <w:szCs w:val="22"/>
                      <w:lang w:val="en-US" w:eastAsia="zh-CN"/>
                    </w:rPr>
                    <w:t>4</w:t>
                  </w:r>
                </w:p>
              </w:tc>
              <w:tc>
                <w:tcPr>
                  <w:tcW w:w="615" w:type="dxa"/>
                  <w:tcBorders>
                    <w:bottom w:val="single" w:color="auto" w:sz="12" w:space="0"/>
                  </w:tcBorders>
                  <w:vAlign w:val="center"/>
                </w:tcPr>
                <w:p>
                  <w:pPr>
                    <w:adjustRightInd w:val="0"/>
                    <w:snapToGrid w:val="0"/>
                    <w:spacing w:line="240" w:lineRule="auto"/>
                    <w:ind w:firstLine="0" w:firstLineChars="0"/>
                    <w:jc w:val="center"/>
                    <w:rPr>
                      <w:rFonts w:ascii="Times New Roman" w:hAnsi="Times New Roman" w:eastAsia="宋体"/>
                      <w:b w:val="0"/>
                      <w:bCs/>
                      <w:color w:val="000000" w:themeColor="text1"/>
                      <w:sz w:val="21"/>
                      <w:szCs w:val="21"/>
                      <w14:textFill>
                        <w14:solidFill>
                          <w14:schemeClr w14:val="tx1"/>
                        </w14:solidFill>
                      </w14:textFill>
                    </w:rPr>
                  </w:pPr>
                  <w:r>
                    <w:rPr>
                      <w:rFonts w:hint="eastAsia"/>
                      <w:b w:val="0"/>
                      <w:bCs/>
                      <w:color w:val="FF0000"/>
                      <w:sz w:val="22"/>
                      <w:szCs w:val="22"/>
                      <w:lang w:val="en-US" w:eastAsia="zh-CN"/>
                    </w:rPr>
                    <w:t>60</w:t>
                  </w:r>
                </w:p>
              </w:tc>
              <w:tc>
                <w:tcPr>
                  <w:tcW w:w="730" w:type="dxa"/>
                  <w:tcBorders>
                    <w:bottom w:val="single" w:color="auto" w:sz="12" w:space="0"/>
                  </w:tcBorders>
                  <w:vAlign w:val="center"/>
                </w:tcPr>
                <w:p>
                  <w:pPr>
                    <w:adjustRightInd w:val="0"/>
                    <w:snapToGrid w:val="0"/>
                    <w:spacing w:line="240" w:lineRule="auto"/>
                    <w:ind w:firstLine="0" w:firstLineChars="0"/>
                    <w:jc w:val="center"/>
                    <w:rPr>
                      <w:rFonts w:ascii="Times New Roman" w:hAnsi="Times New Roman" w:eastAsia="宋体"/>
                      <w:b w:val="0"/>
                      <w:bCs/>
                      <w:color w:val="000000" w:themeColor="text1"/>
                      <w:sz w:val="21"/>
                      <w:szCs w:val="21"/>
                      <w14:textFill>
                        <w14:solidFill>
                          <w14:schemeClr w14:val="tx1"/>
                        </w14:solidFill>
                      </w14:textFill>
                    </w:rPr>
                  </w:pPr>
                  <w:r>
                    <w:rPr>
                      <w:rFonts w:hint="eastAsia"/>
                      <w:b w:val="0"/>
                      <w:bCs/>
                      <w:color w:val="FF0000"/>
                      <w:sz w:val="22"/>
                      <w:szCs w:val="22"/>
                    </w:rPr>
                    <w:t>5</w:t>
                  </w:r>
                  <w:r>
                    <w:rPr>
                      <w:rFonts w:hint="eastAsia"/>
                      <w:b w:val="0"/>
                      <w:bCs/>
                      <w:color w:val="FF0000"/>
                      <w:sz w:val="22"/>
                      <w:szCs w:val="22"/>
                      <w:lang w:val="en-US" w:eastAsia="zh-CN"/>
                    </w:rPr>
                    <w:t>8</w:t>
                  </w:r>
                </w:p>
              </w:tc>
              <w:tc>
                <w:tcPr>
                  <w:tcW w:w="730" w:type="dxa"/>
                  <w:tcBorders>
                    <w:bottom w:val="single" w:color="auto" w:sz="12" w:space="0"/>
                  </w:tcBorders>
                  <w:vAlign w:val="center"/>
                </w:tcPr>
                <w:p>
                  <w:pPr>
                    <w:adjustRightInd w:val="0"/>
                    <w:snapToGrid w:val="0"/>
                    <w:spacing w:line="240" w:lineRule="auto"/>
                    <w:ind w:firstLine="0" w:firstLineChars="0"/>
                    <w:jc w:val="center"/>
                    <w:rPr>
                      <w:rFonts w:ascii="Times New Roman" w:hAnsi="Times New Roman" w:eastAsia="宋体"/>
                      <w:b w:val="0"/>
                      <w:bCs/>
                      <w:color w:val="000000" w:themeColor="text1"/>
                      <w:sz w:val="21"/>
                      <w:szCs w:val="21"/>
                      <w14:textFill>
                        <w14:solidFill>
                          <w14:schemeClr w14:val="tx1"/>
                        </w14:solidFill>
                      </w14:textFill>
                    </w:rPr>
                  </w:pPr>
                  <w:r>
                    <w:rPr>
                      <w:rFonts w:hint="eastAsia"/>
                      <w:b w:val="0"/>
                      <w:bCs/>
                      <w:color w:val="FF0000"/>
                      <w:sz w:val="22"/>
                      <w:szCs w:val="22"/>
                    </w:rPr>
                    <w:t>5</w:t>
                  </w:r>
                  <w:r>
                    <w:rPr>
                      <w:rFonts w:hint="eastAsia"/>
                      <w:b w:val="0"/>
                      <w:bCs/>
                      <w:color w:val="FF0000"/>
                      <w:sz w:val="22"/>
                      <w:szCs w:val="22"/>
                      <w:lang w:val="en-US" w:eastAsia="zh-CN"/>
                    </w:rPr>
                    <w:t>4</w:t>
                  </w:r>
                  <w:r>
                    <w:rPr>
                      <w:rFonts w:hint="eastAsia"/>
                      <w:b w:val="0"/>
                      <w:bCs/>
                      <w:color w:val="FF0000"/>
                      <w:sz w:val="22"/>
                      <w:szCs w:val="22"/>
                    </w:rPr>
                    <w:t>.4</w:t>
                  </w:r>
                </w:p>
              </w:tc>
              <w:tc>
                <w:tcPr>
                  <w:tcW w:w="730" w:type="dxa"/>
                  <w:tcBorders>
                    <w:bottom w:val="single" w:color="auto" w:sz="12" w:space="0"/>
                  </w:tcBorders>
                  <w:vAlign w:val="center"/>
                </w:tcPr>
                <w:p>
                  <w:pPr>
                    <w:adjustRightInd w:val="0"/>
                    <w:snapToGrid w:val="0"/>
                    <w:spacing w:line="240" w:lineRule="auto"/>
                    <w:ind w:firstLine="0" w:firstLineChars="0"/>
                    <w:jc w:val="center"/>
                    <w:rPr>
                      <w:rFonts w:ascii="Times New Roman" w:hAnsi="Times New Roman" w:eastAsia="宋体"/>
                      <w:b w:val="0"/>
                      <w:bCs/>
                      <w:color w:val="000000" w:themeColor="text1"/>
                      <w:sz w:val="21"/>
                      <w:szCs w:val="21"/>
                      <w14:textFill>
                        <w14:solidFill>
                          <w14:schemeClr w14:val="tx1"/>
                        </w14:solidFill>
                      </w14:textFill>
                    </w:rPr>
                  </w:pPr>
                  <w:r>
                    <w:rPr>
                      <w:rFonts w:hint="eastAsia"/>
                      <w:b w:val="0"/>
                      <w:bCs/>
                      <w:color w:val="FF0000"/>
                      <w:sz w:val="22"/>
                      <w:szCs w:val="22"/>
                    </w:rPr>
                    <w:t>5</w:t>
                  </w:r>
                  <w:r>
                    <w:rPr>
                      <w:rFonts w:hint="eastAsia"/>
                      <w:b w:val="0"/>
                      <w:bCs/>
                      <w:color w:val="FF0000"/>
                      <w:sz w:val="22"/>
                      <w:szCs w:val="22"/>
                      <w:lang w:val="en-US" w:eastAsia="zh-CN"/>
                    </w:rPr>
                    <w:t>3</w:t>
                  </w:r>
                </w:p>
              </w:tc>
              <w:tc>
                <w:tcPr>
                  <w:tcW w:w="730" w:type="dxa"/>
                  <w:tcBorders>
                    <w:bottom w:val="single" w:color="auto" w:sz="12" w:space="0"/>
                  </w:tcBorders>
                  <w:vAlign w:val="center"/>
                </w:tcPr>
                <w:p>
                  <w:pPr>
                    <w:adjustRightInd w:val="0"/>
                    <w:snapToGrid w:val="0"/>
                    <w:spacing w:line="240" w:lineRule="auto"/>
                    <w:ind w:firstLine="0" w:firstLineChars="0"/>
                    <w:jc w:val="center"/>
                    <w:rPr>
                      <w:rFonts w:ascii="Times New Roman" w:hAnsi="Times New Roman" w:eastAsia="宋体"/>
                      <w:b w:val="0"/>
                      <w:bCs/>
                      <w:color w:val="000000" w:themeColor="text1"/>
                      <w:sz w:val="21"/>
                      <w:szCs w:val="21"/>
                      <w14:textFill>
                        <w14:solidFill>
                          <w14:schemeClr w14:val="tx1"/>
                        </w14:solidFill>
                      </w14:textFill>
                    </w:rPr>
                  </w:pPr>
                  <w:r>
                    <w:rPr>
                      <w:rFonts w:hint="eastAsia"/>
                      <w:b w:val="0"/>
                      <w:bCs/>
                      <w:color w:val="FF0000"/>
                      <w:sz w:val="22"/>
                      <w:szCs w:val="22"/>
                      <w:lang w:val="en-US" w:eastAsia="zh-CN"/>
                    </w:rPr>
                    <w:t>51</w:t>
                  </w:r>
                  <w:r>
                    <w:rPr>
                      <w:rFonts w:hint="eastAsia"/>
                      <w:b w:val="0"/>
                      <w:bCs/>
                      <w:color w:val="FF0000"/>
                      <w:sz w:val="22"/>
                      <w:szCs w:val="22"/>
                    </w:rPr>
                    <w:t>.9</w:t>
                  </w:r>
                </w:p>
              </w:tc>
              <w:tc>
                <w:tcPr>
                  <w:tcW w:w="730" w:type="dxa"/>
                  <w:tcBorders>
                    <w:bottom w:val="single" w:color="auto" w:sz="12" w:space="0"/>
                  </w:tcBorders>
                  <w:vAlign w:val="center"/>
                </w:tcPr>
                <w:p>
                  <w:pPr>
                    <w:adjustRightInd w:val="0"/>
                    <w:snapToGrid w:val="0"/>
                    <w:spacing w:line="240" w:lineRule="auto"/>
                    <w:ind w:firstLine="0" w:firstLineChars="0"/>
                    <w:jc w:val="center"/>
                    <w:rPr>
                      <w:rFonts w:ascii="Times New Roman" w:hAnsi="Times New Roman" w:eastAsia="宋体"/>
                      <w:b w:val="0"/>
                      <w:bCs/>
                      <w:color w:val="000000" w:themeColor="text1"/>
                      <w:sz w:val="21"/>
                      <w:szCs w:val="21"/>
                      <w14:textFill>
                        <w14:solidFill>
                          <w14:schemeClr w14:val="tx1"/>
                        </w14:solidFill>
                      </w14:textFill>
                    </w:rPr>
                  </w:pPr>
                  <w:r>
                    <w:rPr>
                      <w:rFonts w:hint="eastAsia"/>
                      <w:b w:val="0"/>
                      <w:bCs/>
                      <w:color w:val="FF0000"/>
                      <w:sz w:val="22"/>
                      <w:szCs w:val="22"/>
                      <w:lang w:val="en-US" w:eastAsia="zh-CN"/>
                    </w:rPr>
                    <w:t>50</w:t>
                  </w:r>
                  <w:r>
                    <w:rPr>
                      <w:rFonts w:hint="eastAsia"/>
                      <w:b w:val="0"/>
                      <w:bCs/>
                      <w:color w:val="FF0000"/>
                      <w:sz w:val="22"/>
                      <w:szCs w:val="22"/>
                    </w:rPr>
                    <w:t>.0</w:t>
                  </w:r>
                </w:p>
              </w:tc>
              <w:tc>
                <w:tcPr>
                  <w:tcW w:w="730" w:type="dxa"/>
                  <w:tcBorders>
                    <w:bottom w:val="single" w:color="auto" w:sz="12" w:space="0"/>
                    <w:right w:val="single" w:color="auto" w:sz="4" w:space="0"/>
                  </w:tcBorders>
                  <w:vAlign w:val="center"/>
                </w:tcPr>
                <w:p>
                  <w:pPr>
                    <w:adjustRightInd w:val="0"/>
                    <w:snapToGrid w:val="0"/>
                    <w:spacing w:line="240" w:lineRule="auto"/>
                    <w:ind w:firstLine="0" w:firstLineChars="0"/>
                    <w:jc w:val="center"/>
                    <w:rPr>
                      <w:rFonts w:ascii="Times New Roman" w:hAnsi="Times New Roman" w:eastAsia="宋体"/>
                      <w:b w:val="0"/>
                      <w:bCs/>
                      <w:color w:val="000000" w:themeColor="text1"/>
                      <w:sz w:val="21"/>
                      <w:szCs w:val="21"/>
                      <w14:textFill>
                        <w14:solidFill>
                          <w14:schemeClr w14:val="tx1"/>
                        </w14:solidFill>
                      </w14:textFill>
                    </w:rPr>
                  </w:pPr>
                  <w:r>
                    <w:rPr>
                      <w:rFonts w:hint="eastAsia"/>
                      <w:b w:val="0"/>
                      <w:bCs/>
                      <w:color w:val="FF0000"/>
                      <w:sz w:val="22"/>
                      <w:szCs w:val="22"/>
                      <w:lang w:val="en-US" w:eastAsia="zh-CN"/>
                    </w:rPr>
                    <w:t>48</w:t>
                  </w:r>
                  <w:r>
                    <w:rPr>
                      <w:rFonts w:hint="eastAsia"/>
                      <w:b w:val="0"/>
                      <w:bCs/>
                      <w:color w:val="FF0000"/>
                      <w:sz w:val="22"/>
                      <w:szCs w:val="22"/>
                    </w:rPr>
                    <w:t>.4</w:t>
                  </w:r>
                </w:p>
              </w:tc>
              <w:tc>
                <w:tcPr>
                  <w:tcW w:w="730" w:type="dxa"/>
                  <w:tcBorders>
                    <w:left w:val="single" w:color="auto" w:sz="4" w:space="0"/>
                    <w:bottom w:val="single" w:color="auto" w:sz="12" w:space="0"/>
                    <w:right w:val="single" w:color="auto" w:sz="4" w:space="0"/>
                  </w:tcBorders>
                  <w:vAlign w:val="center"/>
                </w:tcPr>
                <w:p>
                  <w:pPr>
                    <w:adjustRightInd w:val="0"/>
                    <w:snapToGrid w:val="0"/>
                    <w:spacing w:line="240" w:lineRule="auto"/>
                    <w:ind w:firstLine="0" w:firstLineChars="0"/>
                    <w:jc w:val="center"/>
                    <w:rPr>
                      <w:rFonts w:hint="default" w:eastAsia="宋体"/>
                      <w:b w:val="0"/>
                      <w:bCs/>
                      <w:color w:val="000000" w:themeColor="text1"/>
                      <w:sz w:val="22"/>
                      <w:szCs w:val="22"/>
                      <w:lang w:val="en-US" w:eastAsia="zh-CN"/>
                      <w14:textFill>
                        <w14:solidFill>
                          <w14:schemeClr w14:val="tx1"/>
                        </w14:solidFill>
                      </w14:textFill>
                    </w:rPr>
                  </w:pPr>
                  <w:r>
                    <w:rPr>
                      <w:rFonts w:hint="eastAsia"/>
                      <w:b w:val="0"/>
                      <w:bCs/>
                      <w:color w:val="FF0000"/>
                      <w:sz w:val="22"/>
                      <w:szCs w:val="22"/>
                      <w:lang w:val="en-US" w:eastAsia="zh-CN"/>
                    </w:rPr>
                    <w:t>47.1</w:t>
                  </w:r>
                </w:p>
              </w:tc>
              <w:tc>
                <w:tcPr>
                  <w:tcW w:w="736" w:type="dxa"/>
                  <w:tcBorders>
                    <w:left w:val="single" w:color="auto" w:sz="4" w:space="0"/>
                    <w:bottom w:val="single" w:color="auto" w:sz="12" w:space="0"/>
                    <w:right w:val="single" w:color="auto" w:sz="12" w:space="0"/>
                  </w:tcBorders>
                  <w:vAlign w:val="center"/>
                </w:tcPr>
                <w:p>
                  <w:pPr>
                    <w:adjustRightInd w:val="0"/>
                    <w:snapToGrid w:val="0"/>
                    <w:spacing w:line="240" w:lineRule="auto"/>
                    <w:ind w:firstLine="0" w:firstLineChars="0"/>
                    <w:jc w:val="center"/>
                    <w:rPr>
                      <w:rFonts w:hint="default" w:eastAsia="宋体"/>
                      <w:b w:val="0"/>
                      <w:bCs/>
                      <w:color w:val="000000" w:themeColor="text1"/>
                      <w:sz w:val="22"/>
                      <w:szCs w:val="22"/>
                      <w:lang w:val="en-US" w:eastAsia="zh-CN"/>
                      <w14:textFill>
                        <w14:solidFill>
                          <w14:schemeClr w14:val="tx1"/>
                        </w14:solidFill>
                      </w14:textFill>
                    </w:rPr>
                  </w:pPr>
                  <w:r>
                    <w:rPr>
                      <w:rFonts w:hint="eastAsia"/>
                      <w:b w:val="0"/>
                      <w:bCs/>
                      <w:color w:val="FF0000"/>
                      <w:sz w:val="22"/>
                      <w:szCs w:val="22"/>
                      <w:lang w:val="en-US" w:eastAsia="zh-CN"/>
                    </w:rPr>
                    <w:t>45.9</w:t>
                  </w:r>
                </w:p>
              </w:tc>
            </w:tr>
          </w:tbl>
          <w:p>
            <w:pPr>
              <w:spacing w:line="360" w:lineRule="auto"/>
              <w:ind w:firstLine="420"/>
              <w:rPr>
                <w:rFonts w:hint="eastAsia" w:ascii="Times New Roman" w:hAnsi="Times New Roman" w:eastAsia="宋体"/>
                <w:color w:val="FF0000"/>
                <w:sz w:val="24"/>
                <w:lang w:val="en-US" w:eastAsia="zh-CN"/>
              </w:rPr>
            </w:pPr>
            <w:r>
              <w:rPr>
                <w:rFonts w:hint="eastAsia" w:ascii="Times New Roman" w:hAnsi="Times New Roman"/>
                <w:color w:val="000000" w:themeColor="text1"/>
                <w:sz w:val="24"/>
                <w14:textFill>
                  <w14:solidFill>
                    <w14:schemeClr w14:val="tx1"/>
                  </w14:solidFill>
                </w14:textFill>
              </w:rPr>
              <w:t>根据</w:t>
            </w:r>
            <w:r>
              <w:rPr>
                <w:rFonts w:hint="eastAsia"/>
                <w:color w:val="000000" w:themeColor="text1"/>
                <w:sz w:val="24"/>
                <w:lang w:val="en-US" w:eastAsia="zh-CN"/>
                <w14:textFill>
                  <w14:solidFill>
                    <w14:schemeClr w14:val="tx1"/>
                  </w14:solidFill>
                </w14:textFill>
              </w:rPr>
              <w:t>预测结果</w:t>
            </w:r>
            <w:r>
              <w:rPr>
                <w:rFonts w:hint="eastAsia" w:ascii="Times New Roman" w:hAnsi="Times New Roman"/>
                <w:color w:val="000000" w:themeColor="text1"/>
                <w:sz w:val="24"/>
                <w14:textFill>
                  <w14:solidFill>
                    <w14:schemeClr w14:val="tx1"/>
                  </w14:solidFill>
                </w14:textFill>
              </w:rPr>
              <w:t>，本项目风电机噪声贡献值在距离风机约</w:t>
            </w:r>
            <w:r>
              <w:rPr>
                <w:rFonts w:hint="eastAsia"/>
                <w:color w:val="000000" w:themeColor="text1"/>
                <w:sz w:val="24"/>
                <w:lang w:val="en-US" w:eastAsia="zh-CN"/>
                <w14:textFill>
                  <w14:solidFill>
                    <w14:schemeClr w14:val="tx1"/>
                  </w14:solidFill>
                </w14:textFill>
              </w:rPr>
              <w:t>80</w:t>
            </w:r>
            <w:r>
              <w:rPr>
                <w:rFonts w:hint="eastAsia" w:ascii="Times New Roman" w:hAnsi="Times New Roman"/>
                <w:color w:val="000000" w:themeColor="text1"/>
                <w:sz w:val="24"/>
                <w14:textFill>
                  <w14:solidFill>
                    <w14:schemeClr w14:val="tx1"/>
                  </w14:solidFill>
                </w14:textFill>
              </w:rPr>
              <w:t>m、</w:t>
            </w:r>
            <w:r>
              <w:rPr>
                <w:rFonts w:hint="eastAsia"/>
                <w:color w:val="000000" w:themeColor="text1"/>
                <w:sz w:val="24"/>
                <w:lang w:val="en-US" w:eastAsia="zh-CN"/>
                <w14:textFill>
                  <w14:solidFill>
                    <w14:schemeClr w14:val="tx1"/>
                  </w14:solidFill>
                </w14:textFill>
              </w:rPr>
              <w:t>250</w:t>
            </w:r>
            <w:r>
              <w:rPr>
                <w:rFonts w:hint="eastAsia" w:ascii="Times New Roman" w:hAnsi="Times New Roman"/>
                <w:color w:val="000000" w:themeColor="text1"/>
                <w:sz w:val="24"/>
                <w14:textFill>
                  <w14:solidFill>
                    <w14:schemeClr w14:val="tx1"/>
                  </w14:solidFill>
                </w14:textFill>
              </w:rPr>
              <w:t>m处</w:t>
            </w:r>
            <w:r>
              <w:rPr>
                <w:rFonts w:hint="eastAsia" w:ascii="Times New Roman" w:hAnsi="Times New Roman"/>
                <w:color w:val="FF0000"/>
                <w:sz w:val="24"/>
              </w:rPr>
              <w:t>可满足</w:t>
            </w:r>
            <w:r>
              <w:rPr>
                <w:rFonts w:hint="eastAsia"/>
                <w:color w:val="FF0000"/>
                <w:sz w:val="24"/>
                <w:lang w:eastAsia="zh-CN"/>
              </w:rPr>
              <w:t>《</w:t>
            </w:r>
            <w:r>
              <w:rPr>
                <w:rFonts w:hint="eastAsia"/>
                <w:color w:val="FF0000"/>
                <w:sz w:val="24"/>
                <w:lang w:val="en-US" w:eastAsia="zh-CN"/>
              </w:rPr>
              <w:t>工业企业厂界环境噪声排放标准</w:t>
            </w:r>
            <w:r>
              <w:rPr>
                <w:rFonts w:hint="eastAsia"/>
                <w:color w:val="FF0000"/>
                <w:sz w:val="24"/>
                <w:lang w:eastAsia="zh-CN"/>
              </w:rPr>
              <w:t>》（</w:t>
            </w:r>
            <w:r>
              <w:rPr>
                <w:rFonts w:hint="eastAsia"/>
                <w:color w:val="FF0000"/>
                <w:sz w:val="24"/>
                <w:lang w:val="en-US" w:eastAsia="zh-CN"/>
              </w:rPr>
              <w:t>GB12348-2008</w:t>
            </w:r>
            <w:r>
              <w:rPr>
                <w:rFonts w:hint="eastAsia"/>
                <w:color w:val="FF0000"/>
                <w:sz w:val="24"/>
                <w:lang w:eastAsia="zh-CN"/>
              </w:rPr>
              <w:t>））2类标准</w:t>
            </w:r>
            <w:r>
              <w:rPr>
                <w:rFonts w:hint="eastAsia"/>
                <w:color w:val="FF0000"/>
                <w:sz w:val="24"/>
                <w:lang w:val="en-US" w:eastAsia="zh-CN"/>
              </w:rPr>
              <w:t>及</w:t>
            </w:r>
            <w:r>
              <w:rPr>
                <w:rFonts w:hint="eastAsia" w:ascii="Times New Roman" w:hAnsi="Times New Roman"/>
                <w:color w:val="FF0000"/>
                <w:sz w:val="24"/>
              </w:rPr>
              <w:t>《风电场噪声限值及测量方法》（DLT 1084-2008）2类标准昼间、夜间噪声限值</w:t>
            </w:r>
            <w:r>
              <w:rPr>
                <w:rFonts w:hint="eastAsia"/>
                <w:color w:val="FF0000"/>
                <w:sz w:val="24"/>
                <w:lang w:eastAsia="zh-CN"/>
              </w:rPr>
              <w:t>，</w:t>
            </w:r>
            <w:r>
              <w:rPr>
                <w:rFonts w:hint="eastAsia"/>
                <w:color w:val="FF0000"/>
                <w:sz w:val="24"/>
                <w:lang w:val="en-US" w:eastAsia="zh-CN"/>
              </w:rPr>
              <w:t>通常</w:t>
            </w:r>
            <w:r>
              <w:rPr>
                <w:rFonts w:hint="eastAsia" w:ascii="Times New Roman" w:hAnsi="Times New Roman"/>
                <w:color w:val="FF0000"/>
                <w:sz w:val="24"/>
              </w:rPr>
              <w:t>情况下风机多数都非满负荷运行，风机噪声影响更小</w:t>
            </w:r>
            <w:r>
              <w:rPr>
                <w:rFonts w:hint="eastAsia"/>
                <w:color w:val="FF0000"/>
                <w:sz w:val="24"/>
                <w:lang w:eastAsia="zh-CN"/>
              </w:rPr>
              <w:t>。</w:t>
            </w:r>
          </w:p>
          <w:p>
            <w:pPr>
              <w:spacing w:line="360" w:lineRule="auto"/>
              <w:ind w:firstLine="420"/>
              <w:rPr>
                <w:rFonts w:hint="default" w:eastAsia="宋体"/>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⑤</w:t>
            </w:r>
            <w:r>
              <w:rPr>
                <w:rFonts w:hint="eastAsia"/>
                <w:color w:val="000000" w:themeColor="text1"/>
                <w:sz w:val="24"/>
                <w:szCs w:val="24"/>
                <w:lang w:val="en-US" w:eastAsia="zh-CN"/>
                <w14:textFill>
                  <w14:solidFill>
                    <w14:schemeClr w14:val="tx1"/>
                  </w14:solidFill>
                </w14:textFill>
              </w:rPr>
              <w:t>风电场监测类比</w:t>
            </w:r>
          </w:p>
          <w:p>
            <w:pPr>
              <w:spacing w:line="360" w:lineRule="auto"/>
              <w:ind w:firstLine="420"/>
              <w:rPr>
                <w:rFonts w:hint="default"/>
                <w:color w:val="FF0000"/>
                <w:sz w:val="24"/>
                <w:szCs w:val="24"/>
                <w:lang w:val="en-US" w:eastAsia="zh-CN"/>
              </w:rPr>
            </w:pPr>
            <w:r>
              <w:rPr>
                <w:rFonts w:hint="eastAsia"/>
                <w:color w:val="FF0000"/>
                <w:sz w:val="24"/>
                <w:szCs w:val="24"/>
                <w:lang w:val="en-US" w:eastAsia="zh-CN"/>
              </w:rPr>
              <w:t>武城县三自风电场工程李家户项目位于德州市武城县甲马营镇、李家户镇及老城镇，建设内容为总装机容量50MW，安装20台单机容量为2.5MW的风力发电机组；该项目建设地为西北平原，拟建风机周边均为农田生态系统；与本次拟建项目的风机规模、建设地点的生态环境一致；具有了类比性。</w:t>
            </w:r>
          </w:p>
          <w:p>
            <w:pPr>
              <w:spacing w:line="360" w:lineRule="auto"/>
              <w:ind w:firstLine="420"/>
              <w:rPr>
                <w:rFonts w:hint="eastAsia" w:eastAsia="宋体"/>
                <w:color w:val="000000" w:themeColor="text1"/>
                <w:sz w:val="24"/>
                <w:szCs w:val="24"/>
                <w:lang w:val="en-US" w:eastAsia="zh-CN"/>
                <w14:textFill>
                  <w14:solidFill>
                    <w14:schemeClr w14:val="tx1"/>
                  </w14:solidFill>
                </w14:textFill>
              </w:rPr>
            </w:pPr>
            <w:r>
              <w:rPr>
                <w:rFonts w:hint="eastAsia"/>
                <w:color w:val="FF0000"/>
                <w:sz w:val="24"/>
                <w:szCs w:val="24"/>
                <w:lang w:val="en-US" w:eastAsia="zh-CN"/>
              </w:rPr>
              <w:t>根据《武城县三自风电场工程李家户项目二期项目竣工环境保护设施验收调查表》中2021年1月20日和2021年1月22日对声环境污染源监测结果，风机机组15#塔架边界0m的噪声值为昼间53.5</w:t>
            </w:r>
            <w:r>
              <w:rPr>
                <w:rFonts w:ascii="Times New Roman" w:hAnsi="Times New Roman" w:eastAsia="Times New Roman"/>
                <w:color w:val="FF0000"/>
                <w:sz w:val="24"/>
                <w:szCs w:val="24"/>
              </w:rPr>
              <w:t>dB(A)</w:t>
            </w:r>
            <w:r>
              <w:rPr>
                <w:rFonts w:hint="eastAsia" w:eastAsia="宋体"/>
                <w:color w:val="FF0000"/>
                <w:sz w:val="24"/>
                <w:szCs w:val="24"/>
                <w:lang w:eastAsia="zh-CN"/>
              </w:rPr>
              <w:t>，</w:t>
            </w:r>
            <w:r>
              <w:rPr>
                <w:rFonts w:hint="eastAsia" w:eastAsia="宋体"/>
                <w:color w:val="FF0000"/>
                <w:sz w:val="24"/>
                <w:szCs w:val="24"/>
                <w:lang w:val="en-US" w:eastAsia="zh-CN"/>
              </w:rPr>
              <w:t>夜间41.2</w:t>
            </w:r>
            <w:r>
              <w:rPr>
                <w:rFonts w:ascii="Times New Roman" w:hAnsi="Times New Roman" w:eastAsia="Times New Roman"/>
                <w:color w:val="FF0000"/>
                <w:sz w:val="24"/>
                <w:szCs w:val="24"/>
              </w:rPr>
              <w:t>dB(A)</w:t>
            </w:r>
            <w:r>
              <w:rPr>
                <w:rFonts w:hint="eastAsia" w:eastAsia="宋体"/>
                <w:color w:val="FF0000"/>
                <w:sz w:val="24"/>
                <w:szCs w:val="24"/>
                <w:lang w:eastAsia="zh-CN"/>
              </w:rPr>
              <w:t>，</w:t>
            </w:r>
            <w:r>
              <w:rPr>
                <w:rFonts w:hint="eastAsia" w:eastAsia="宋体"/>
                <w:color w:val="FF0000"/>
                <w:sz w:val="24"/>
                <w:szCs w:val="24"/>
                <w:lang w:val="en-US" w:eastAsia="zh-CN"/>
              </w:rPr>
              <w:t>满足《工业企业厂界环境噪声排放标准》（GB12348-2008））2类标准限值。</w:t>
            </w:r>
          </w:p>
          <w:p>
            <w:pPr>
              <w:keepNext w:val="0"/>
              <w:keepLines w:val="0"/>
              <w:pageBreakBefore w:val="0"/>
              <w:kinsoku/>
              <w:wordWrap/>
              <w:overflowPunct/>
              <w:topLinePunct w:val="0"/>
              <w:bidi w:val="0"/>
              <w:snapToGrid/>
              <w:spacing w:line="360" w:lineRule="auto"/>
              <w:ind w:firstLine="420"/>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⑥</w:t>
            </w:r>
            <w:r>
              <w:rPr>
                <w:rFonts w:hint="eastAsia" w:eastAsia="宋体"/>
                <w:color w:val="000000" w:themeColor="text1"/>
                <w:sz w:val="24"/>
                <w:szCs w:val="24"/>
                <w:lang w:val="en-US" w:eastAsia="zh-CN"/>
                <w14:textFill>
                  <w14:solidFill>
                    <w14:schemeClr w14:val="tx1"/>
                  </w14:solidFill>
                </w14:textFill>
              </w:rPr>
              <w:t>声环境影响分析</w:t>
            </w:r>
          </w:p>
          <w:p>
            <w:pPr>
              <w:keepNext w:val="0"/>
              <w:keepLines w:val="0"/>
              <w:pageBreakBefore w:val="0"/>
              <w:kinsoku/>
              <w:wordWrap/>
              <w:overflowPunct/>
              <w:topLinePunct w:val="0"/>
              <w:bidi w:val="0"/>
              <w:snapToGrid/>
              <w:spacing w:line="360" w:lineRule="auto"/>
              <w:ind w:firstLine="420"/>
              <w:textAlignment w:val="auto"/>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w:t>
            </w:r>
            <w:r>
              <w:rPr>
                <w:rFonts w:hint="eastAsia" w:eastAsia="宋体"/>
                <w:color w:val="000000" w:themeColor="text1"/>
                <w:sz w:val="24"/>
                <w:szCs w:val="24"/>
                <w:lang w:val="en-US" w:eastAsia="zh-CN"/>
                <w14:textFill>
                  <w14:solidFill>
                    <w14:schemeClr w14:val="tx1"/>
                  </w14:solidFill>
                </w14:textFill>
              </w:rPr>
              <w:t>现场调查，</w:t>
            </w:r>
            <w:r>
              <w:rPr>
                <w:rFonts w:hint="eastAsia"/>
                <w:color w:val="000000" w:themeColor="text1"/>
                <w:sz w:val="24"/>
                <w:szCs w:val="24"/>
                <w:lang w:val="en-US" w:eastAsia="zh-CN"/>
                <w14:textFill>
                  <w14:solidFill>
                    <w14:schemeClr w14:val="tx1"/>
                  </w14:solidFill>
                </w14:textFill>
              </w:rPr>
              <w:t>项目</w:t>
            </w:r>
            <w:r>
              <w:rPr>
                <w:rFonts w:hint="eastAsia" w:eastAsia="宋体"/>
                <w:color w:val="000000" w:themeColor="text1"/>
                <w:sz w:val="24"/>
                <w:szCs w:val="24"/>
                <w:lang w:val="en-US" w:eastAsia="zh-CN"/>
                <w14:textFill>
                  <w14:solidFill>
                    <w14:schemeClr w14:val="tx1"/>
                  </w14:solidFill>
                </w14:textFill>
              </w:rPr>
              <w:t>风机周围200m范围内无环境敏感目标，距环境敏感目标最近的风机为</w:t>
            </w:r>
            <w:r>
              <w:rPr>
                <w:rFonts w:hint="eastAsia"/>
                <w:color w:val="000000" w:themeColor="text1"/>
                <w:sz w:val="24"/>
                <w:szCs w:val="24"/>
                <w:lang w:val="en-US" w:eastAsia="zh-CN"/>
                <w14:textFill>
                  <w14:solidFill>
                    <w14:schemeClr w14:val="tx1"/>
                  </w14:solidFill>
                </w14:textFill>
              </w:rPr>
              <w:t>T5</w:t>
            </w:r>
            <w:r>
              <w:rPr>
                <w:rFonts w:hint="eastAsia" w:eastAsia="宋体"/>
                <w:color w:val="000000" w:themeColor="text1"/>
                <w:sz w:val="24"/>
                <w:szCs w:val="24"/>
                <w:lang w:val="en-US" w:eastAsia="zh-CN"/>
                <w14:textFill>
                  <w14:solidFill>
                    <w14:schemeClr w14:val="tx1"/>
                  </w14:solidFill>
                </w14:textFill>
              </w:rPr>
              <w:t>号风机，距离</w:t>
            </w:r>
            <w:r>
              <w:rPr>
                <w:rFonts w:hint="eastAsia"/>
                <w:color w:val="000000" w:themeColor="text1"/>
                <w:sz w:val="24"/>
                <w:szCs w:val="24"/>
                <w:lang w:val="en-US" w:eastAsia="zh-CN"/>
                <w14:textFill>
                  <w14:solidFill>
                    <w14:schemeClr w14:val="tx1"/>
                  </w14:solidFill>
                </w14:textFill>
              </w:rPr>
              <w:t>王庄镇329</w:t>
            </w:r>
            <w:r>
              <w:rPr>
                <w:rFonts w:hint="eastAsia" w:eastAsia="宋体"/>
                <w:color w:val="000000" w:themeColor="text1"/>
                <w:sz w:val="24"/>
                <w:szCs w:val="24"/>
                <w:lang w:val="en-US" w:eastAsia="zh-CN"/>
                <w14:textFill>
                  <w14:solidFill>
                    <w14:schemeClr w14:val="tx1"/>
                  </w14:solidFill>
                </w14:textFill>
              </w:rPr>
              <w:t>m，对</w:t>
            </w:r>
            <w:r>
              <w:rPr>
                <w:rFonts w:hint="eastAsia"/>
                <w:color w:val="000000" w:themeColor="text1"/>
                <w:sz w:val="24"/>
                <w:szCs w:val="24"/>
                <w:lang w:val="en-US" w:eastAsia="zh-CN"/>
                <w14:textFill>
                  <w14:solidFill>
                    <w14:schemeClr w14:val="tx1"/>
                  </w14:solidFill>
                </w14:textFill>
              </w:rPr>
              <w:t>环境</w:t>
            </w:r>
            <w:r>
              <w:rPr>
                <w:rFonts w:hint="eastAsia" w:eastAsia="宋体"/>
                <w:color w:val="000000" w:themeColor="text1"/>
                <w:sz w:val="24"/>
                <w:szCs w:val="24"/>
                <w:lang w:val="en-US" w:eastAsia="zh-CN"/>
                <w14:textFill>
                  <w14:solidFill>
                    <w14:schemeClr w14:val="tx1"/>
                  </w14:solidFill>
                </w14:textFill>
              </w:rPr>
              <w:t>敏感目标声环境影响较小。</w:t>
            </w:r>
          </w:p>
          <w:p>
            <w:pPr>
              <w:keepNext w:val="0"/>
              <w:keepLines w:val="0"/>
              <w:pageBreakBefore w:val="0"/>
              <w:kinsoku/>
              <w:wordWrap/>
              <w:overflowPunct/>
              <w:topLinePunct w:val="0"/>
              <w:bidi w:val="0"/>
              <w:snapToGrid/>
              <w:spacing w:line="360" w:lineRule="auto"/>
              <w:ind w:firstLine="420"/>
              <w:textAlignment w:val="auto"/>
              <w:rPr>
                <w:rFonts w:hint="eastAsia"/>
                <w:color w:val="FF0000"/>
                <w:sz w:val="24"/>
                <w:szCs w:val="24"/>
                <w:lang w:val="en-US" w:eastAsia="zh-CN"/>
              </w:rPr>
            </w:pPr>
            <w:r>
              <w:rPr>
                <w:rFonts w:hint="eastAsia"/>
                <w:color w:val="FF0000"/>
                <w:sz w:val="24"/>
                <w:szCs w:val="24"/>
                <w:lang w:val="en-US" w:eastAsia="zh-CN"/>
              </w:rPr>
              <w:t>⑦噪声防护距离</w:t>
            </w:r>
          </w:p>
          <w:p>
            <w:pPr>
              <w:keepNext w:val="0"/>
              <w:keepLines w:val="0"/>
              <w:pageBreakBefore w:val="0"/>
              <w:kinsoku/>
              <w:wordWrap/>
              <w:overflowPunct/>
              <w:topLinePunct w:val="0"/>
              <w:bidi w:val="0"/>
              <w:snapToGrid/>
              <w:spacing w:line="360" w:lineRule="auto"/>
              <w:ind w:firstLine="420"/>
              <w:textAlignment w:val="auto"/>
              <w:rPr>
                <w:rFonts w:hint="eastAsia"/>
                <w:color w:val="FF0000"/>
                <w:sz w:val="24"/>
                <w:szCs w:val="24"/>
                <w:lang w:val="en-US" w:eastAsia="zh-CN"/>
              </w:rPr>
            </w:pPr>
            <w:r>
              <w:rPr>
                <w:rFonts w:hint="eastAsia"/>
                <w:color w:val="FF0000"/>
                <w:sz w:val="24"/>
                <w:szCs w:val="24"/>
                <w:lang w:val="en-US" w:eastAsia="zh-CN"/>
              </w:rPr>
              <w:t>单台风机在距风电机组250m噪声贡献值可降至50dB（A），符合《风电场噪声限值及测量方法》（DL/T1084-2008）2类区域夜间标准要求，环评提出将每台风机周围250m范围作为项目噪声防护区。</w:t>
            </w:r>
          </w:p>
          <w:p>
            <w:pPr>
              <w:keepNext w:val="0"/>
              <w:keepLines w:val="0"/>
              <w:pageBreakBefore w:val="0"/>
              <w:kinsoku/>
              <w:wordWrap/>
              <w:overflowPunct/>
              <w:topLinePunct w:val="0"/>
              <w:bidi w:val="0"/>
              <w:snapToGrid/>
              <w:spacing w:line="360" w:lineRule="auto"/>
              <w:ind w:firstLine="420"/>
              <w:textAlignment w:val="auto"/>
              <w:rPr>
                <w:rFonts w:hint="eastAsia"/>
                <w:color w:val="FF0000"/>
                <w:sz w:val="24"/>
                <w:szCs w:val="24"/>
                <w:lang w:val="en-US" w:eastAsia="zh-CN"/>
              </w:rPr>
            </w:pPr>
            <w:r>
              <w:rPr>
                <w:rFonts w:hint="eastAsia"/>
                <w:color w:val="FF0000"/>
                <w:sz w:val="24"/>
                <w:szCs w:val="24"/>
                <w:lang w:val="en-US" w:eastAsia="zh-CN"/>
              </w:rPr>
              <w:t>评价要求距风电机组250m的范围内不再规划新的居民点、学校等噪声敏感点。</w:t>
            </w:r>
          </w:p>
          <w:p>
            <w:pPr>
              <w:keepNext w:val="0"/>
              <w:keepLines w:val="0"/>
              <w:pageBreakBefore w:val="0"/>
              <w:kinsoku/>
              <w:wordWrap/>
              <w:overflowPunct/>
              <w:topLinePunct w:val="0"/>
              <w:bidi w:val="0"/>
              <w:snapToGrid/>
              <w:spacing w:line="360" w:lineRule="auto"/>
              <w:ind w:firstLine="420"/>
              <w:textAlignment w:val="auto"/>
              <w:rPr>
                <w:rFonts w:hint="eastAsia" w:eastAsia="宋体"/>
                <w:color w:val="FF0000"/>
                <w:sz w:val="24"/>
                <w:szCs w:val="24"/>
                <w:lang w:val="en-US" w:eastAsia="zh-CN"/>
              </w:rPr>
            </w:pPr>
            <w:r>
              <w:rPr>
                <w:rFonts w:hint="eastAsia" w:eastAsia="宋体"/>
                <w:color w:val="FF0000"/>
                <w:sz w:val="24"/>
                <w:szCs w:val="24"/>
                <w:lang w:val="en-US" w:eastAsia="zh-CN"/>
              </w:rPr>
              <w:t>（2）</w:t>
            </w:r>
            <w:r>
              <w:rPr>
                <w:rFonts w:hint="eastAsia"/>
                <w:color w:val="FF0000"/>
                <w:sz w:val="24"/>
                <w:szCs w:val="24"/>
                <w:lang w:val="en-US" w:eastAsia="zh-CN"/>
              </w:rPr>
              <w:t>35</w:t>
            </w:r>
            <w:r>
              <w:rPr>
                <w:rFonts w:hint="eastAsia" w:eastAsia="宋体"/>
                <w:color w:val="FF0000"/>
                <w:sz w:val="24"/>
                <w:szCs w:val="24"/>
                <w:lang w:val="en-US" w:eastAsia="zh-CN"/>
              </w:rPr>
              <w:t>kV</w:t>
            </w:r>
            <w:r>
              <w:rPr>
                <w:rFonts w:hint="eastAsia"/>
                <w:color w:val="FF0000"/>
                <w:sz w:val="24"/>
                <w:szCs w:val="24"/>
                <w:lang w:val="en-US" w:eastAsia="zh-CN"/>
              </w:rPr>
              <w:t>开关站</w:t>
            </w:r>
            <w:r>
              <w:rPr>
                <w:rFonts w:hint="eastAsia" w:eastAsia="宋体"/>
                <w:color w:val="FF0000"/>
                <w:sz w:val="24"/>
                <w:szCs w:val="24"/>
                <w:lang w:val="en-US" w:eastAsia="zh-CN"/>
              </w:rPr>
              <w:t>声环境影响分析</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FF0000"/>
                <w:sz w:val="24"/>
              </w:rPr>
            </w:pPr>
            <w:r>
              <w:rPr>
                <w:rFonts w:hint="eastAsia" w:ascii="Times New Roman" w:hAnsi="Times New Roman"/>
                <w:color w:val="FF0000"/>
                <w:sz w:val="24"/>
              </w:rPr>
              <w:t>开关站内噪声污染源主要来自配套的散热系统风机产生的噪声，噪声以中低频为主，配电装置散热系统风机声压值一般在</w:t>
            </w:r>
            <w:r>
              <w:rPr>
                <w:rFonts w:hint="eastAsia"/>
                <w:color w:val="FF0000"/>
                <w:sz w:val="24"/>
                <w:lang w:val="en-US" w:eastAsia="zh-CN"/>
              </w:rPr>
              <w:t>75</w:t>
            </w:r>
            <w:r>
              <w:rPr>
                <w:rFonts w:hint="eastAsia" w:ascii="Times New Roman" w:hAnsi="Times New Roman"/>
                <w:color w:val="FF0000"/>
                <w:sz w:val="24"/>
              </w:rPr>
              <w:t>dB(A)，经舱间隔声</w:t>
            </w:r>
            <w:r>
              <w:rPr>
                <w:rFonts w:hint="eastAsia"/>
                <w:color w:val="FF0000"/>
                <w:sz w:val="24"/>
                <w:lang w:val="en-US" w:eastAsia="zh-CN"/>
              </w:rPr>
              <w:t>和减震</w:t>
            </w:r>
            <w:r>
              <w:rPr>
                <w:rFonts w:hint="eastAsia" w:ascii="Times New Roman" w:hAnsi="Times New Roman"/>
                <w:color w:val="FF0000"/>
                <w:sz w:val="24"/>
              </w:rPr>
              <w:t>后，噪声值约</w:t>
            </w:r>
            <w:r>
              <w:rPr>
                <w:rFonts w:hint="eastAsia"/>
                <w:color w:val="FF0000"/>
                <w:sz w:val="24"/>
                <w:lang w:val="en-US" w:eastAsia="zh-CN"/>
              </w:rPr>
              <w:t>55</w:t>
            </w:r>
            <w:r>
              <w:rPr>
                <w:rFonts w:ascii="Times New Roman" w:hAnsi="Times New Roman"/>
                <w:color w:val="FF0000"/>
                <w:sz w:val="24"/>
              </w:rPr>
              <w:t>dB（A）</w:t>
            </w:r>
            <w:r>
              <w:rPr>
                <w:rFonts w:hint="eastAsia" w:ascii="Times New Roman" w:hAnsi="Times New Roman"/>
                <w:color w:val="FF0000"/>
                <w:sz w:val="24"/>
              </w:rPr>
              <w:t>。</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FF0000"/>
                <w:sz w:val="24"/>
              </w:rPr>
            </w:pPr>
            <w:r>
              <w:rPr>
                <w:rFonts w:hint="eastAsia" w:ascii="Times New Roman" w:hAnsi="Times New Roman"/>
                <w:color w:val="FF0000"/>
                <w:sz w:val="24"/>
              </w:rPr>
              <w:t>①厂界噪声达标情况分析</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FF0000"/>
                <w:sz w:val="24"/>
              </w:rPr>
            </w:pPr>
            <w:r>
              <w:rPr>
                <w:rFonts w:hint="eastAsia" w:ascii="Times New Roman" w:hAnsi="Times New Roman"/>
                <w:color w:val="FF0000"/>
                <w:sz w:val="24"/>
              </w:rPr>
              <w:t>根据开关站的平面布置图，本项目</w:t>
            </w:r>
            <w:r>
              <w:rPr>
                <w:rFonts w:hint="eastAsia"/>
                <w:color w:val="FF0000"/>
                <w:sz w:val="24"/>
                <w:lang w:val="en-US" w:eastAsia="zh-CN"/>
              </w:rPr>
              <w:t>散热系统风机</w:t>
            </w:r>
            <w:r>
              <w:rPr>
                <w:rFonts w:hint="eastAsia" w:ascii="Times New Roman" w:hAnsi="Times New Roman"/>
                <w:color w:val="FF0000"/>
                <w:sz w:val="24"/>
              </w:rPr>
              <w:t>与四厂界距离见下表</w:t>
            </w:r>
            <w:r>
              <w:rPr>
                <w:rFonts w:hint="eastAsia"/>
                <w:color w:val="FF0000"/>
                <w:sz w:val="24"/>
                <w:lang w:val="en-US" w:eastAsia="zh-CN"/>
              </w:rPr>
              <w:t>4-4</w:t>
            </w:r>
            <w:r>
              <w:rPr>
                <w:rFonts w:hint="eastAsia" w:ascii="Times New Roman" w:hAnsi="Times New Roman"/>
                <w:color w:val="FF0000"/>
                <w:sz w:val="24"/>
              </w:rPr>
              <w:t>。</w:t>
            </w:r>
          </w:p>
          <w:p>
            <w:pPr>
              <w:pStyle w:val="44"/>
              <w:keepNext w:val="0"/>
              <w:keepLines w:val="0"/>
              <w:pageBreakBefore w:val="0"/>
              <w:kinsoku/>
              <w:wordWrap/>
              <w:overflowPunct/>
              <w:topLinePunct w:val="0"/>
              <w:bidi w:val="0"/>
              <w:snapToGrid/>
              <w:spacing w:line="240" w:lineRule="auto"/>
              <w:textAlignment w:val="auto"/>
              <w:rPr>
                <w:rFonts w:ascii="Times New Roman" w:hAnsi="Times New Roman" w:eastAsia="宋体"/>
                <w:color w:val="FF0000"/>
              </w:rPr>
            </w:pPr>
            <w:r>
              <w:rPr>
                <w:rFonts w:ascii="Times New Roman" w:hAnsi="Times New Roman" w:eastAsia="宋体"/>
                <w:color w:val="FF0000"/>
              </w:rPr>
              <w:t>表</w:t>
            </w:r>
            <w:r>
              <w:rPr>
                <w:rFonts w:hint="eastAsia" w:eastAsia="宋体"/>
                <w:color w:val="FF0000"/>
                <w:lang w:val="en-US" w:eastAsia="zh-CN"/>
              </w:rPr>
              <w:t>4-4</w:t>
            </w:r>
            <w:r>
              <w:rPr>
                <w:rFonts w:ascii="Times New Roman" w:hAnsi="Times New Roman" w:eastAsia="宋体"/>
                <w:color w:val="FF0000"/>
              </w:rPr>
              <w:t xml:space="preserve">  开关柜组距四厂界</w:t>
            </w:r>
            <w:r>
              <w:rPr>
                <w:rFonts w:hint="eastAsia" w:ascii="Times New Roman" w:hAnsi="Times New Roman" w:eastAsia="宋体"/>
                <w:color w:val="FF0000"/>
              </w:rPr>
              <w:t>距离</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1656"/>
              <w:gridCol w:w="1656"/>
              <w:gridCol w:w="1656"/>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98" w:type="pct"/>
                  <w:vMerge w:val="restart"/>
                  <w:tcBorders>
                    <w:top w:val="single" w:color="auto" w:sz="12" w:space="0"/>
                  </w:tcBorders>
                  <w:vAlign w:val="center"/>
                </w:tcPr>
                <w:p>
                  <w:pPr>
                    <w:keepNext w:val="0"/>
                    <w:keepLines w:val="0"/>
                    <w:pageBreakBefore w:val="0"/>
                    <w:kinsoku/>
                    <w:wordWrap/>
                    <w:overflowPunct/>
                    <w:topLinePunct w:val="0"/>
                    <w:bidi w:val="0"/>
                    <w:snapToGrid/>
                    <w:spacing w:line="240" w:lineRule="exact"/>
                    <w:jc w:val="center"/>
                    <w:textAlignment w:val="auto"/>
                    <w:rPr>
                      <w:rFonts w:ascii="Times New Roman" w:hAnsi="Times New Roman"/>
                      <w:color w:val="FF0000"/>
                      <w:szCs w:val="21"/>
                    </w:rPr>
                  </w:pPr>
                  <w:r>
                    <w:rPr>
                      <w:rFonts w:ascii="Times New Roman" w:hAnsi="Times New Roman"/>
                      <w:color w:val="FF0000"/>
                      <w:szCs w:val="21"/>
                    </w:rPr>
                    <w:t>项目</w:t>
                  </w:r>
                </w:p>
              </w:tc>
              <w:tc>
                <w:tcPr>
                  <w:tcW w:w="4001" w:type="pct"/>
                  <w:gridSpan w:val="4"/>
                  <w:tcBorders>
                    <w:top w:val="single" w:color="auto" w:sz="12" w:space="0"/>
                    <w:right w:val="single" w:color="auto" w:sz="12" w:space="0"/>
                  </w:tcBorders>
                  <w:vAlign w:val="center"/>
                </w:tcPr>
                <w:p>
                  <w:pPr>
                    <w:keepNext w:val="0"/>
                    <w:keepLines w:val="0"/>
                    <w:pageBreakBefore w:val="0"/>
                    <w:kinsoku/>
                    <w:wordWrap/>
                    <w:overflowPunct/>
                    <w:topLinePunct w:val="0"/>
                    <w:bidi w:val="0"/>
                    <w:snapToGrid/>
                    <w:spacing w:line="240" w:lineRule="exact"/>
                    <w:jc w:val="center"/>
                    <w:textAlignment w:val="auto"/>
                    <w:rPr>
                      <w:rFonts w:ascii="Times New Roman" w:hAnsi="Times New Roman"/>
                      <w:color w:val="FF0000"/>
                      <w:szCs w:val="21"/>
                    </w:rPr>
                  </w:pPr>
                  <w:r>
                    <w:rPr>
                      <w:rFonts w:ascii="Times New Roman" w:hAnsi="Times New Roman"/>
                      <w:color w:val="FF0000"/>
                      <w:szCs w:val="21"/>
                    </w:rPr>
                    <w:t>距厂界距离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98" w:type="pct"/>
                  <w:vMerge w:val="continue"/>
                  <w:tcBorders>
                    <w:left w:val="single" w:color="auto" w:sz="4" w:space="0"/>
                  </w:tcBorders>
                  <w:vAlign w:val="center"/>
                </w:tcPr>
                <w:p>
                  <w:pPr>
                    <w:keepNext w:val="0"/>
                    <w:keepLines w:val="0"/>
                    <w:pageBreakBefore w:val="0"/>
                    <w:kinsoku/>
                    <w:wordWrap/>
                    <w:overflowPunct/>
                    <w:topLinePunct w:val="0"/>
                    <w:bidi w:val="0"/>
                    <w:snapToGrid/>
                    <w:spacing w:line="240" w:lineRule="exact"/>
                    <w:jc w:val="center"/>
                    <w:textAlignment w:val="auto"/>
                    <w:rPr>
                      <w:rFonts w:ascii="Times New Roman" w:hAnsi="Times New Roman"/>
                      <w:color w:val="FF0000"/>
                      <w:szCs w:val="21"/>
                    </w:rPr>
                  </w:pPr>
                </w:p>
              </w:tc>
              <w:tc>
                <w:tcPr>
                  <w:tcW w:w="998" w:type="pct"/>
                  <w:vAlign w:val="center"/>
                </w:tcPr>
                <w:p>
                  <w:pPr>
                    <w:keepNext w:val="0"/>
                    <w:keepLines w:val="0"/>
                    <w:pageBreakBefore w:val="0"/>
                    <w:kinsoku/>
                    <w:wordWrap/>
                    <w:overflowPunct/>
                    <w:topLinePunct w:val="0"/>
                    <w:bidi w:val="0"/>
                    <w:snapToGrid/>
                    <w:spacing w:line="240" w:lineRule="exact"/>
                    <w:jc w:val="center"/>
                    <w:textAlignment w:val="auto"/>
                    <w:rPr>
                      <w:rFonts w:ascii="Times New Roman" w:hAnsi="Times New Roman"/>
                      <w:color w:val="FF0000"/>
                      <w:szCs w:val="21"/>
                    </w:rPr>
                  </w:pPr>
                  <w:r>
                    <w:rPr>
                      <w:rFonts w:ascii="Times New Roman" w:hAnsi="Times New Roman"/>
                      <w:color w:val="FF0000"/>
                      <w:szCs w:val="21"/>
                    </w:rPr>
                    <w:t>东</w:t>
                  </w:r>
                </w:p>
              </w:tc>
              <w:tc>
                <w:tcPr>
                  <w:tcW w:w="998" w:type="pct"/>
                  <w:vAlign w:val="center"/>
                </w:tcPr>
                <w:p>
                  <w:pPr>
                    <w:keepNext w:val="0"/>
                    <w:keepLines w:val="0"/>
                    <w:pageBreakBefore w:val="0"/>
                    <w:kinsoku/>
                    <w:wordWrap/>
                    <w:overflowPunct/>
                    <w:topLinePunct w:val="0"/>
                    <w:bidi w:val="0"/>
                    <w:snapToGrid/>
                    <w:spacing w:line="240" w:lineRule="exact"/>
                    <w:jc w:val="center"/>
                    <w:textAlignment w:val="auto"/>
                    <w:rPr>
                      <w:rFonts w:ascii="Times New Roman" w:hAnsi="Times New Roman"/>
                      <w:color w:val="FF0000"/>
                      <w:szCs w:val="21"/>
                    </w:rPr>
                  </w:pPr>
                  <w:r>
                    <w:rPr>
                      <w:rFonts w:ascii="Times New Roman" w:hAnsi="Times New Roman"/>
                      <w:color w:val="FF0000"/>
                      <w:szCs w:val="21"/>
                    </w:rPr>
                    <w:t>南</w:t>
                  </w:r>
                </w:p>
              </w:tc>
              <w:tc>
                <w:tcPr>
                  <w:tcW w:w="998" w:type="pct"/>
                  <w:vAlign w:val="center"/>
                </w:tcPr>
                <w:p>
                  <w:pPr>
                    <w:keepNext w:val="0"/>
                    <w:keepLines w:val="0"/>
                    <w:pageBreakBefore w:val="0"/>
                    <w:kinsoku/>
                    <w:wordWrap/>
                    <w:overflowPunct/>
                    <w:topLinePunct w:val="0"/>
                    <w:bidi w:val="0"/>
                    <w:snapToGrid/>
                    <w:spacing w:line="240" w:lineRule="exact"/>
                    <w:jc w:val="center"/>
                    <w:textAlignment w:val="auto"/>
                    <w:rPr>
                      <w:rFonts w:ascii="Times New Roman" w:hAnsi="Times New Roman"/>
                      <w:color w:val="FF0000"/>
                      <w:szCs w:val="21"/>
                    </w:rPr>
                  </w:pPr>
                  <w:r>
                    <w:rPr>
                      <w:rFonts w:ascii="Times New Roman" w:hAnsi="Times New Roman"/>
                      <w:color w:val="FF0000"/>
                      <w:szCs w:val="21"/>
                    </w:rPr>
                    <w:t>西</w:t>
                  </w:r>
                </w:p>
              </w:tc>
              <w:tc>
                <w:tcPr>
                  <w:tcW w:w="1004" w:type="pct"/>
                  <w:tcBorders>
                    <w:right w:val="single" w:color="auto" w:sz="12" w:space="0"/>
                  </w:tcBorders>
                  <w:vAlign w:val="center"/>
                </w:tcPr>
                <w:p>
                  <w:pPr>
                    <w:keepNext w:val="0"/>
                    <w:keepLines w:val="0"/>
                    <w:pageBreakBefore w:val="0"/>
                    <w:kinsoku/>
                    <w:wordWrap/>
                    <w:overflowPunct/>
                    <w:topLinePunct w:val="0"/>
                    <w:bidi w:val="0"/>
                    <w:snapToGrid/>
                    <w:spacing w:line="240" w:lineRule="exact"/>
                    <w:jc w:val="center"/>
                    <w:textAlignment w:val="auto"/>
                    <w:rPr>
                      <w:rFonts w:ascii="Times New Roman" w:hAnsi="Times New Roman"/>
                      <w:color w:val="FF0000"/>
                      <w:szCs w:val="21"/>
                    </w:rPr>
                  </w:pPr>
                  <w:r>
                    <w:rPr>
                      <w:rFonts w:ascii="Times New Roman" w:hAnsi="Times New Roman"/>
                      <w:color w:val="FF0000"/>
                      <w:szCs w:val="21"/>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98" w:type="pct"/>
                  <w:tcBorders>
                    <w:left w:val="single" w:color="auto" w:sz="4" w:space="0"/>
                    <w:bottom w:val="single" w:color="auto" w:sz="12" w:space="0"/>
                  </w:tcBorders>
                  <w:vAlign w:val="center"/>
                </w:tcPr>
                <w:p>
                  <w:pPr>
                    <w:keepNext w:val="0"/>
                    <w:keepLines w:val="0"/>
                    <w:pageBreakBefore w:val="0"/>
                    <w:kinsoku/>
                    <w:wordWrap/>
                    <w:overflowPunct/>
                    <w:topLinePunct w:val="0"/>
                    <w:bidi w:val="0"/>
                    <w:snapToGrid/>
                    <w:spacing w:line="240" w:lineRule="exact"/>
                    <w:jc w:val="center"/>
                    <w:textAlignment w:val="auto"/>
                    <w:rPr>
                      <w:rFonts w:hint="default" w:ascii="Times New Roman" w:hAnsi="Times New Roman" w:eastAsia="宋体"/>
                      <w:color w:val="FF0000"/>
                      <w:szCs w:val="21"/>
                      <w:lang w:val="en-US" w:eastAsia="zh-CN"/>
                    </w:rPr>
                  </w:pPr>
                  <w:r>
                    <w:rPr>
                      <w:rFonts w:hint="eastAsia"/>
                      <w:color w:val="FF0000"/>
                      <w:szCs w:val="21"/>
                      <w:lang w:val="en-US" w:eastAsia="zh-CN"/>
                    </w:rPr>
                    <w:t>散热系统风机</w:t>
                  </w:r>
                </w:p>
              </w:tc>
              <w:tc>
                <w:tcPr>
                  <w:tcW w:w="998" w:type="pct"/>
                  <w:tcBorders>
                    <w:bottom w:val="single" w:color="auto" w:sz="12" w:space="0"/>
                  </w:tcBorders>
                  <w:vAlign w:val="center"/>
                </w:tcPr>
                <w:p>
                  <w:pPr>
                    <w:keepNext w:val="0"/>
                    <w:keepLines w:val="0"/>
                    <w:pageBreakBefore w:val="0"/>
                    <w:kinsoku/>
                    <w:wordWrap/>
                    <w:overflowPunct/>
                    <w:topLinePunct w:val="0"/>
                    <w:bidi w:val="0"/>
                    <w:snapToGrid/>
                    <w:spacing w:line="240" w:lineRule="exact"/>
                    <w:jc w:val="center"/>
                    <w:textAlignment w:val="auto"/>
                    <w:rPr>
                      <w:rFonts w:hint="eastAsia" w:ascii="Times New Roman" w:hAnsi="Times New Roman" w:eastAsia="宋体"/>
                      <w:color w:val="FF0000"/>
                      <w:szCs w:val="21"/>
                      <w:lang w:val="en-US" w:eastAsia="zh-CN"/>
                    </w:rPr>
                  </w:pPr>
                  <w:r>
                    <w:rPr>
                      <w:rFonts w:hint="eastAsia"/>
                      <w:color w:val="FF0000"/>
                      <w:szCs w:val="21"/>
                      <w:lang w:val="en-US" w:eastAsia="zh-CN"/>
                    </w:rPr>
                    <w:t>2</w:t>
                  </w:r>
                </w:p>
              </w:tc>
              <w:tc>
                <w:tcPr>
                  <w:tcW w:w="998" w:type="pct"/>
                  <w:tcBorders>
                    <w:bottom w:val="single" w:color="auto" w:sz="12" w:space="0"/>
                  </w:tcBorders>
                  <w:vAlign w:val="center"/>
                </w:tcPr>
                <w:p>
                  <w:pPr>
                    <w:keepNext w:val="0"/>
                    <w:keepLines w:val="0"/>
                    <w:pageBreakBefore w:val="0"/>
                    <w:kinsoku/>
                    <w:wordWrap/>
                    <w:overflowPunct/>
                    <w:topLinePunct w:val="0"/>
                    <w:bidi w:val="0"/>
                    <w:snapToGrid/>
                    <w:spacing w:line="240" w:lineRule="exact"/>
                    <w:jc w:val="center"/>
                    <w:textAlignment w:val="auto"/>
                    <w:rPr>
                      <w:rFonts w:hint="eastAsia" w:ascii="Times New Roman" w:hAnsi="Times New Roman" w:eastAsia="宋体"/>
                      <w:color w:val="FF0000"/>
                      <w:szCs w:val="21"/>
                      <w:lang w:val="en-US" w:eastAsia="zh-CN"/>
                    </w:rPr>
                  </w:pPr>
                  <w:r>
                    <w:rPr>
                      <w:rFonts w:hint="eastAsia"/>
                      <w:color w:val="FF0000"/>
                      <w:szCs w:val="21"/>
                      <w:lang w:val="en-US" w:eastAsia="zh-CN"/>
                    </w:rPr>
                    <w:t>3</w:t>
                  </w:r>
                </w:p>
              </w:tc>
              <w:tc>
                <w:tcPr>
                  <w:tcW w:w="998" w:type="pct"/>
                  <w:tcBorders>
                    <w:bottom w:val="single" w:color="auto" w:sz="12" w:space="0"/>
                  </w:tcBorders>
                  <w:vAlign w:val="center"/>
                </w:tcPr>
                <w:p>
                  <w:pPr>
                    <w:keepNext w:val="0"/>
                    <w:keepLines w:val="0"/>
                    <w:pageBreakBefore w:val="0"/>
                    <w:kinsoku/>
                    <w:wordWrap/>
                    <w:overflowPunct/>
                    <w:topLinePunct w:val="0"/>
                    <w:bidi w:val="0"/>
                    <w:snapToGrid/>
                    <w:spacing w:line="240" w:lineRule="exact"/>
                    <w:jc w:val="center"/>
                    <w:textAlignment w:val="auto"/>
                    <w:rPr>
                      <w:rFonts w:hint="default" w:ascii="Times New Roman" w:hAnsi="Times New Roman" w:eastAsia="宋体"/>
                      <w:color w:val="FF0000"/>
                      <w:szCs w:val="21"/>
                      <w:lang w:val="en-US" w:eastAsia="zh-CN"/>
                    </w:rPr>
                  </w:pPr>
                  <w:r>
                    <w:rPr>
                      <w:rFonts w:hint="eastAsia"/>
                      <w:color w:val="FF0000"/>
                      <w:szCs w:val="21"/>
                      <w:lang w:val="en-US" w:eastAsia="zh-CN"/>
                    </w:rPr>
                    <w:t>18</w:t>
                  </w:r>
                </w:p>
              </w:tc>
              <w:tc>
                <w:tcPr>
                  <w:tcW w:w="1004" w:type="pct"/>
                  <w:tcBorders>
                    <w:bottom w:val="single" w:color="auto" w:sz="12" w:space="0"/>
                    <w:right w:val="single" w:color="auto" w:sz="12" w:space="0"/>
                  </w:tcBorders>
                  <w:vAlign w:val="center"/>
                </w:tcPr>
                <w:p>
                  <w:pPr>
                    <w:keepNext w:val="0"/>
                    <w:keepLines w:val="0"/>
                    <w:pageBreakBefore w:val="0"/>
                    <w:kinsoku/>
                    <w:wordWrap/>
                    <w:overflowPunct/>
                    <w:topLinePunct w:val="0"/>
                    <w:bidi w:val="0"/>
                    <w:snapToGrid/>
                    <w:spacing w:line="240" w:lineRule="exact"/>
                    <w:jc w:val="center"/>
                    <w:textAlignment w:val="auto"/>
                    <w:rPr>
                      <w:rFonts w:hint="default" w:ascii="Times New Roman" w:hAnsi="Times New Roman" w:eastAsia="宋体"/>
                      <w:color w:val="FF0000"/>
                      <w:szCs w:val="21"/>
                      <w:lang w:val="en-US" w:eastAsia="zh-CN"/>
                    </w:rPr>
                  </w:pPr>
                  <w:r>
                    <w:rPr>
                      <w:rFonts w:hint="eastAsia"/>
                      <w:color w:val="FF0000"/>
                      <w:szCs w:val="21"/>
                      <w:lang w:val="en-US" w:eastAsia="zh-CN"/>
                    </w:rPr>
                    <w:t>22</w:t>
                  </w:r>
                </w:p>
              </w:tc>
            </w:tr>
          </w:tbl>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FF0000"/>
                <w:sz w:val="24"/>
              </w:rPr>
            </w:pPr>
            <w:r>
              <w:rPr>
                <w:rFonts w:hint="eastAsia" w:ascii="Times New Roman" w:hAnsi="Times New Roman"/>
                <w:color w:val="FF0000"/>
                <w:sz w:val="24"/>
              </w:rPr>
              <w:t>开关站各厂界的预测结果见下表</w:t>
            </w:r>
            <w:r>
              <w:rPr>
                <w:rFonts w:hint="eastAsia"/>
                <w:color w:val="FF0000"/>
                <w:sz w:val="24"/>
                <w:lang w:val="en-US" w:eastAsia="zh-CN"/>
              </w:rPr>
              <w:t>4-5</w:t>
            </w:r>
            <w:r>
              <w:rPr>
                <w:rFonts w:hint="eastAsia" w:ascii="Times New Roman" w:hAnsi="Times New Roman"/>
                <w:color w:val="FF0000"/>
                <w:sz w:val="24"/>
              </w:rPr>
              <w:t>。</w:t>
            </w:r>
          </w:p>
          <w:p>
            <w:pPr>
              <w:pStyle w:val="44"/>
              <w:keepNext w:val="0"/>
              <w:keepLines w:val="0"/>
              <w:pageBreakBefore w:val="0"/>
              <w:kinsoku/>
              <w:wordWrap/>
              <w:overflowPunct/>
              <w:topLinePunct w:val="0"/>
              <w:bidi w:val="0"/>
              <w:snapToGrid/>
              <w:spacing w:line="240" w:lineRule="auto"/>
              <w:textAlignment w:val="auto"/>
              <w:rPr>
                <w:rFonts w:ascii="Times New Roman" w:hAnsi="Times New Roman" w:eastAsia="宋体"/>
                <w:color w:val="FF0000"/>
              </w:rPr>
            </w:pPr>
            <w:r>
              <w:rPr>
                <w:rFonts w:ascii="Times New Roman" w:hAnsi="Times New Roman" w:eastAsia="宋体"/>
                <w:color w:val="FF0000"/>
              </w:rPr>
              <w:t>表</w:t>
            </w:r>
            <w:r>
              <w:rPr>
                <w:rFonts w:hint="eastAsia" w:eastAsia="宋体"/>
                <w:color w:val="FF0000"/>
                <w:lang w:val="en-US" w:eastAsia="zh-CN"/>
              </w:rPr>
              <w:t xml:space="preserve">4-5 </w:t>
            </w:r>
            <w:r>
              <w:rPr>
                <w:rFonts w:hint="eastAsia" w:ascii="Times New Roman" w:hAnsi="Times New Roman" w:eastAsia="宋体"/>
                <w:color w:val="FF0000"/>
              </w:rPr>
              <w:t xml:space="preserve"> </w:t>
            </w:r>
            <w:r>
              <w:rPr>
                <w:rFonts w:ascii="Times New Roman" w:hAnsi="Times New Roman" w:eastAsia="宋体"/>
                <w:color w:val="FF0000"/>
              </w:rPr>
              <w:t>开关</w:t>
            </w:r>
            <w:r>
              <w:rPr>
                <w:rFonts w:hint="eastAsia" w:ascii="Times New Roman" w:hAnsi="Times New Roman" w:eastAsia="宋体"/>
                <w:color w:val="FF0000"/>
              </w:rPr>
              <w:t>站厂界噪声预测结果一览表</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2"/>
              <w:gridCol w:w="2766"/>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665" w:type="pct"/>
                  <w:vMerge w:val="restart"/>
                  <w:tcBorders>
                    <w:top w:val="single" w:color="auto" w:sz="12"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FF0000"/>
                      <w:szCs w:val="21"/>
                    </w:rPr>
                  </w:pPr>
                  <w:r>
                    <w:rPr>
                      <w:rFonts w:hint="eastAsia" w:ascii="Times New Roman" w:hAnsi="Times New Roman"/>
                      <w:color w:val="FF0000"/>
                      <w:szCs w:val="21"/>
                    </w:rPr>
                    <w:t>预测点位</w:t>
                  </w:r>
                </w:p>
              </w:tc>
              <w:tc>
                <w:tcPr>
                  <w:tcW w:w="3334" w:type="pct"/>
                  <w:gridSpan w:val="2"/>
                  <w:tcBorders>
                    <w:top w:val="single" w:color="auto" w:sz="12" w:space="0"/>
                    <w:right w:val="single" w:color="auto" w:sz="12"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FF0000"/>
                      <w:szCs w:val="21"/>
                    </w:rPr>
                  </w:pPr>
                  <w:r>
                    <w:rPr>
                      <w:rFonts w:hint="eastAsia" w:ascii="Times New Roman" w:hAnsi="Times New Roman"/>
                      <w:color w:val="FF0000"/>
                      <w:szCs w:val="21"/>
                    </w:rPr>
                    <w:t>预测值（dB(A)）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665" w:type="pct"/>
                  <w:vMerge w:val="continue"/>
                  <w:tcBorders>
                    <w:left w:val="single" w:color="auto" w:sz="4"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FF0000"/>
                      <w:szCs w:val="21"/>
                    </w:rPr>
                  </w:pPr>
                </w:p>
              </w:tc>
              <w:tc>
                <w:tcPr>
                  <w:tcW w:w="1667" w:type="pct"/>
                  <w:vAlign w:val="center"/>
                </w:tcPr>
                <w:p>
                  <w:pPr>
                    <w:keepNext w:val="0"/>
                    <w:keepLines w:val="0"/>
                    <w:pageBreakBefore w:val="0"/>
                    <w:kinsoku/>
                    <w:wordWrap/>
                    <w:overflowPunct/>
                    <w:topLinePunct w:val="0"/>
                    <w:bidi w:val="0"/>
                    <w:snapToGrid/>
                    <w:jc w:val="center"/>
                    <w:textAlignment w:val="auto"/>
                    <w:rPr>
                      <w:rFonts w:ascii="Times New Roman" w:hAnsi="Times New Roman"/>
                      <w:color w:val="FF0000"/>
                      <w:szCs w:val="21"/>
                    </w:rPr>
                  </w:pPr>
                  <w:r>
                    <w:rPr>
                      <w:rFonts w:hint="eastAsia" w:ascii="Times New Roman" w:hAnsi="Times New Roman"/>
                      <w:color w:val="FF0000"/>
                      <w:szCs w:val="21"/>
                    </w:rPr>
                    <w:t>昼间</w:t>
                  </w:r>
                </w:p>
              </w:tc>
              <w:tc>
                <w:tcPr>
                  <w:tcW w:w="1666" w:type="pct"/>
                  <w:tcBorders>
                    <w:right w:val="single" w:color="auto" w:sz="12"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FF0000"/>
                      <w:szCs w:val="21"/>
                    </w:rPr>
                  </w:pPr>
                  <w:r>
                    <w:rPr>
                      <w:rFonts w:hint="eastAsia" w:ascii="Times New Roman" w:hAnsi="Times New Roman"/>
                      <w:color w:val="FF0000"/>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665" w:type="pct"/>
                  <w:tcBorders>
                    <w:left w:val="single" w:color="auto" w:sz="4"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FF0000"/>
                      <w:szCs w:val="21"/>
                    </w:rPr>
                  </w:pPr>
                  <w:r>
                    <w:rPr>
                      <w:rFonts w:hint="eastAsia" w:ascii="Times New Roman" w:hAnsi="Times New Roman"/>
                      <w:color w:val="FF0000"/>
                      <w:szCs w:val="21"/>
                    </w:rPr>
                    <w:t>东厂界</w:t>
                  </w:r>
                </w:p>
              </w:tc>
              <w:tc>
                <w:tcPr>
                  <w:tcW w:w="1667" w:type="pct"/>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FF0000"/>
                      <w:szCs w:val="21"/>
                      <w:lang w:val="en-US" w:eastAsia="zh-CN"/>
                    </w:rPr>
                  </w:pPr>
                  <w:r>
                    <w:rPr>
                      <w:rFonts w:hint="eastAsia"/>
                      <w:color w:val="FF0000"/>
                      <w:szCs w:val="21"/>
                      <w:lang w:val="en-US" w:eastAsia="zh-CN"/>
                    </w:rPr>
                    <w:t>49.0</w:t>
                  </w:r>
                </w:p>
              </w:tc>
              <w:tc>
                <w:tcPr>
                  <w:tcW w:w="1666" w:type="pct"/>
                  <w:tcBorders>
                    <w:right w:val="single" w:color="auto" w:sz="12"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FF0000"/>
                      <w:szCs w:val="21"/>
                    </w:rPr>
                  </w:pPr>
                  <w:r>
                    <w:rPr>
                      <w:rFonts w:hint="eastAsia"/>
                      <w:color w:val="FF0000"/>
                      <w:szCs w:val="21"/>
                      <w:lang w:val="en-US" w:eastAsia="zh-CN"/>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665" w:type="pct"/>
                  <w:tcBorders>
                    <w:left w:val="single" w:color="auto" w:sz="4"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FF0000"/>
                      <w:szCs w:val="21"/>
                    </w:rPr>
                  </w:pPr>
                  <w:r>
                    <w:rPr>
                      <w:rFonts w:hint="eastAsia" w:ascii="Times New Roman" w:hAnsi="Times New Roman"/>
                      <w:color w:val="FF0000"/>
                      <w:szCs w:val="21"/>
                    </w:rPr>
                    <w:t>南厂界</w:t>
                  </w:r>
                </w:p>
              </w:tc>
              <w:tc>
                <w:tcPr>
                  <w:tcW w:w="1667" w:type="pct"/>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FF0000"/>
                      <w:szCs w:val="21"/>
                      <w:lang w:val="en-US" w:eastAsia="zh-CN"/>
                    </w:rPr>
                  </w:pPr>
                  <w:r>
                    <w:rPr>
                      <w:rFonts w:hint="eastAsia"/>
                      <w:color w:val="FF0000"/>
                      <w:szCs w:val="21"/>
                      <w:lang w:val="en-US" w:eastAsia="zh-CN"/>
                    </w:rPr>
                    <w:t>45.5</w:t>
                  </w:r>
                </w:p>
              </w:tc>
              <w:tc>
                <w:tcPr>
                  <w:tcW w:w="1666" w:type="pct"/>
                  <w:tcBorders>
                    <w:right w:val="single" w:color="auto" w:sz="12"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FF0000"/>
                      <w:szCs w:val="21"/>
                    </w:rPr>
                  </w:pPr>
                  <w:r>
                    <w:rPr>
                      <w:rFonts w:hint="eastAsia"/>
                      <w:color w:val="FF0000"/>
                      <w:szCs w:val="21"/>
                      <w:lang w:val="en-US" w:eastAsia="zh-CN"/>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665" w:type="pct"/>
                  <w:tcBorders>
                    <w:left w:val="single" w:color="auto" w:sz="4"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FF0000"/>
                      <w:szCs w:val="21"/>
                    </w:rPr>
                  </w:pPr>
                  <w:r>
                    <w:rPr>
                      <w:rFonts w:hint="eastAsia" w:ascii="Times New Roman" w:hAnsi="Times New Roman"/>
                      <w:color w:val="FF0000"/>
                      <w:szCs w:val="21"/>
                    </w:rPr>
                    <w:t>西厂界</w:t>
                  </w:r>
                </w:p>
              </w:tc>
              <w:tc>
                <w:tcPr>
                  <w:tcW w:w="1667" w:type="pct"/>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FF0000"/>
                      <w:szCs w:val="21"/>
                      <w:lang w:val="en-US" w:eastAsia="zh-CN"/>
                    </w:rPr>
                  </w:pPr>
                  <w:r>
                    <w:rPr>
                      <w:rFonts w:hint="eastAsia"/>
                      <w:color w:val="FF0000"/>
                      <w:szCs w:val="21"/>
                      <w:lang w:val="en-US" w:eastAsia="zh-CN"/>
                    </w:rPr>
                    <w:t>29.9</w:t>
                  </w:r>
                </w:p>
              </w:tc>
              <w:tc>
                <w:tcPr>
                  <w:tcW w:w="1666" w:type="pct"/>
                  <w:tcBorders>
                    <w:right w:val="single" w:color="auto" w:sz="12"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FF0000"/>
                      <w:szCs w:val="21"/>
                    </w:rPr>
                  </w:pPr>
                  <w:r>
                    <w:rPr>
                      <w:rFonts w:hint="eastAsia"/>
                      <w:color w:val="FF0000"/>
                      <w:szCs w:val="21"/>
                      <w:lang w:val="en-US" w:eastAsia="zh-CN"/>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665" w:type="pct"/>
                  <w:tcBorders>
                    <w:left w:val="single" w:color="auto" w:sz="4"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FF0000"/>
                      <w:szCs w:val="21"/>
                    </w:rPr>
                  </w:pPr>
                  <w:r>
                    <w:rPr>
                      <w:rFonts w:hint="eastAsia" w:ascii="Times New Roman" w:hAnsi="Times New Roman"/>
                      <w:color w:val="FF0000"/>
                      <w:szCs w:val="21"/>
                    </w:rPr>
                    <w:t>北厂界</w:t>
                  </w:r>
                </w:p>
              </w:tc>
              <w:tc>
                <w:tcPr>
                  <w:tcW w:w="1667" w:type="pct"/>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FF0000"/>
                      <w:szCs w:val="21"/>
                      <w:lang w:val="en-US" w:eastAsia="zh-CN"/>
                    </w:rPr>
                  </w:pPr>
                  <w:r>
                    <w:rPr>
                      <w:rFonts w:hint="eastAsia"/>
                      <w:color w:val="FF0000"/>
                      <w:szCs w:val="21"/>
                      <w:lang w:val="en-US" w:eastAsia="zh-CN"/>
                    </w:rPr>
                    <w:t>28.2</w:t>
                  </w:r>
                </w:p>
              </w:tc>
              <w:tc>
                <w:tcPr>
                  <w:tcW w:w="1666" w:type="pct"/>
                  <w:tcBorders>
                    <w:right w:val="single" w:color="auto" w:sz="12"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FF0000"/>
                      <w:szCs w:val="21"/>
                    </w:rPr>
                  </w:pPr>
                  <w:r>
                    <w:rPr>
                      <w:rFonts w:hint="eastAsia"/>
                      <w:color w:val="FF0000"/>
                      <w:szCs w:val="21"/>
                      <w:lang w:val="en-US" w:eastAsia="zh-CN"/>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665" w:type="pct"/>
                  <w:tcBorders>
                    <w:left w:val="single" w:color="auto" w:sz="4"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FF0000"/>
                      <w:szCs w:val="21"/>
                    </w:rPr>
                  </w:pPr>
                  <w:r>
                    <w:rPr>
                      <w:rFonts w:hint="eastAsia" w:ascii="Times New Roman" w:hAnsi="Times New Roman"/>
                      <w:color w:val="FF0000"/>
                      <w:szCs w:val="21"/>
                    </w:rPr>
                    <w:t>GB12348-2008  2类</w:t>
                  </w:r>
                </w:p>
              </w:tc>
              <w:tc>
                <w:tcPr>
                  <w:tcW w:w="1667" w:type="pct"/>
                  <w:vAlign w:val="center"/>
                </w:tcPr>
                <w:p>
                  <w:pPr>
                    <w:keepNext w:val="0"/>
                    <w:keepLines w:val="0"/>
                    <w:pageBreakBefore w:val="0"/>
                    <w:kinsoku/>
                    <w:wordWrap/>
                    <w:overflowPunct/>
                    <w:topLinePunct w:val="0"/>
                    <w:bidi w:val="0"/>
                    <w:snapToGrid/>
                    <w:jc w:val="center"/>
                    <w:textAlignment w:val="auto"/>
                    <w:rPr>
                      <w:rFonts w:ascii="Times New Roman" w:hAnsi="Times New Roman"/>
                      <w:color w:val="FF0000"/>
                      <w:szCs w:val="21"/>
                    </w:rPr>
                  </w:pPr>
                  <w:r>
                    <w:rPr>
                      <w:rFonts w:hint="eastAsia" w:ascii="Times New Roman" w:hAnsi="Times New Roman"/>
                      <w:color w:val="FF0000"/>
                      <w:szCs w:val="21"/>
                    </w:rPr>
                    <w:t>60</w:t>
                  </w:r>
                </w:p>
              </w:tc>
              <w:tc>
                <w:tcPr>
                  <w:tcW w:w="1666" w:type="pct"/>
                  <w:tcBorders>
                    <w:right w:val="single" w:color="auto" w:sz="12"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FF0000"/>
                      <w:szCs w:val="21"/>
                    </w:rPr>
                  </w:pPr>
                  <w:r>
                    <w:rPr>
                      <w:rFonts w:hint="eastAsia" w:ascii="Times New Roman" w:hAnsi="Times New Roman"/>
                      <w:color w:val="FF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65" w:type="pct"/>
                  <w:tcBorders>
                    <w:left w:val="single" w:color="auto" w:sz="4" w:space="0"/>
                    <w:bottom w:val="single" w:color="auto" w:sz="12"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FF0000"/>
                      <w:szCs w:val="21"/>
                    </w:rPr>
                  </w:pPr>
                  <w:r>
                    <w:rPr>
                      <w:rFonts w:hint="eastAsia" w:ascii="Times New Roman" w:hAnsi="Times New Roman"/>
                      <w:color w:val="FF0000"/>
                      <w:szCs w:val="21"/>
                    </w:rPr>
                    <w:t>达标情况</w:t>
                  </w:r>
                </w:p>
              </w:tc>
              <w:tc>
                <w:tcPr>
                  <w:tcW w:w="1667" w:type="pct"/>
                  <w:tcBorders>
                    <w:bottom w:val="single" w:color="auto" w:sz="12"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FF0000"/>
                      <w:szCs w:val="21"/>
                    </w:rPr>
                  </w:pPr>
                  <w:r>
                    <w:rPr>
                      <w:rFonts w:hint="eastAsia" w:ascii="Times New Roman" w:hAnsi="Times New Roman"/>
                      <w:color w:val="FF0000"/>
                      <w:szCs w:val="21"/>
                    </w:rPr>
                    <w:t>达标</w:t>
                  </w:r>
                </w:p>
              </w:tc>
              <w:tc>
                <w:tcPr>
                  <w:tcW w:w="1666" w:type="pct"/>
                  <w:tcBorders>
                    <w:bottom w:val="single" w:color="auto" w:sz="12" w:space="0"/>
                    <w:right w:val="single" w:color="auto" w:sz="12"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FF0000"/>
                      <w:szCs w:val="21"/>
                    </w:rPr>
                  </w:pPr>
                  <w:r>
                    <w:rPr>
                      <w:rFonts w:hint="eastAsia" w:ascii="Times New Roman" w:hAnsi="Times New Roman"/>
                      <w:color w:val="FF0000"/>
                      <w:szCs w:val="21"/>
                    </w:rPr>
                    <w:t>达标</w:t>
                  </w:r>
                </w:p>
              </w:tc>
            </w:tr>
          </w:tbl>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FF0000"/>
                <w:sz w:val="24"/>
              </w:rPr>
            </w:pPr>
            <w:r>
              <w:rPr>
                <w:rFonts w:hint="eastAsia" w:ascii="Times New Roman" w:hAnsi="Times New Roman"/>
                <w:color w:val="FF0000"/>
                <w:sz w:val="24"/>
              </w:rPr>
              <w:t>由上表可知，开关站厂界噪声贡献值满足</w:t>
            </w:r>
            <w:r>
              <w:rPr>
                <w:rFonts w:ascii="Times New Roman" w:hAnsi="Times New Roman"/>
                <w:color w:val="FF0000"/>
                <w:sz w:val="24"/>
                <w:szCs w:val="24"/>
              </w:rPr>
              <w:t>《工业企业厂界环境噪声排放标准》</w:t>
            </w:r>
            <w:r>
              <w:rPr>
                <w:rFonts w:hint="eastAsia" w:ascii="Times New Roman" w:hAnsi="Times New Roman"/>
                <w:color w:val="FF0000"/>
                <w:sz w:val="24"/>
                <w:szCs w:val="24"/>
              </w:rPr>
              <w:t>（GB12348-2008）2</w:t>
            </w:r>
            <w:r>
              <w:rPr>
                <w:rFonts w:ascii="Times New Roman" w:hAnsi="Times New Roman"/>
                <w:color w:val="FF0000"/>
                <w:sz w:val="24"/>
                <w:szCs w:val="24"/>
              </w:rPr>
              <w:t>类标准</w:t>
            </w:r>
            <w:r>
              <w:rPr>
                <w:rFonts w:hint="eastAsia" w:ascii="Times New Roman" w:hAnsi="Times New Roman"/>
                <w:color w:val="FF0000"/>
                <w:sz w:val="24"/>
                <w:szCs w:val="24"/>
              </w:rPr>
              <w:t>限值要求，声环境影响较小。</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4</w:t>
            </w:r>
            <w:r>
              <w:rPr>
                <w:rFonts w:hint="eastAsia"/>
                <w:b/>
                <w:bCs/>
                <w:color w:val="000000" w:themeColor="text1"/>
                <w:sz w:val="24"/>
                <w:lang w:eastAsia="zh-CN"/>
                <w14:textFill>
                  <w14:solidFill>
                    <w14:schemeClr w14:val="tx1"/>
                  </w14:solidFill>
                </w14:textFill>
              </w:rPr>
              <w:t>）</w:t>
            </w:r>
            <w:r>
              <w:rPr>
                <w:rFonts w:ascii="Times New Roman" w:hAnsi="Times New Roman"/>
                <w:b/>
                <w:bCs/>
                <w:color w:val="000000" w:themeColor="text1"/>
                <w:sz w:val="24"/>
                <w14:textFill>
                  <w14:solidFill>
                    <w14:schemeClr w14:val="tx1"/>
                  </w14:solidFill>
                </w14:textFill>
              </w:rPr>
              <w:t>固体废物</w:t>
            </w:r>
          </w:p>
          <w:p>
            <w:pPr>
              <w:keepNext w:val="0"/>
              <w:keepLines w:val="0"/>
              <w:pageBreakBefore w:val="0"/>
              <w:kinsoku/>
              <w:wordWrap/>
              <w:overflowPunct/>
              <w:topLinePunct w:val="0"/>
              <w:bidi w:val="0"/>
              <w:snapToGrid/>
              <w:spacing w:line="360" w:lineRule="auto"/>
              <w:ind w:firstLine="42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营运期固体废弃物为设备检修固废、废变压器油、废润滑油及废箱式变压器。</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①</w:t>
            </w:r>
            <w:r>
              <w:rPr>
                <w:rFonts w:ascii="Times New Roman" w:hAnsi="Times New Roman"/>
                <w:color w:val="000000" w:themeColor="text1"/>
                <w:sz w:val="24"/>
                <w14:textFill>
                  <w14:solidFill>
                    <w14:schemeClr w14:val="tx1"/>
                  </w14:solidFill>
                </w14:textFill>
              </w:rPr>
              <w:t>设备检修固废</w:t>
            </w:r>
          </w:p>
          <w:p>
            <w:pPr>
              <w:keepNext w:val="0"/>
              <w:keepLines w:val="0"/>
              <w:pageBreakBefore w:val="0"/>
              <w:kinsoku/>
              <w:wordWrap/>
              <w:overflowPunct/>
              <w:topLinePunct w:val="0"/>
              <w:bidi w:val="0"/>
              <w:snapToGrid/>
              <w:spacing w:line="360" w:lineRule="auto"/>
              <w:ind w:firstLine="420"/>
              <w:textAlignment w:val="auto"/>
              <w:rPr>
                <w:rFonts w:hint="default" w:ascii="Times New Roman" w:hAnsi="Times New Roman" w:eastAsia="宋体"/>
                <w:color w:val="000000" w:themeColor="text1"/>
                <w:sz w:val="24"/>
                <w:szCs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项目在运营期风电机组、箱式变压器等设备检修时会产生少量的废机油和检修油污垃圾，产生量约为0.0</w:t>
            </w:r>
            <w:r>
              <w:rPr>
                <w:rFonts w:hint="eastAsia"/>
                <w:color w:val="000000" w:themeColor="text1"/>
                <w:sz w:val="24"/>
                <w:lang w:val="en-US" w:eastAsia="zh-CN"/>
                <w14:textFill>
                  <w14:solidFill>
                    <w14:schemeClr w14:val="tx1"/>
                  </w14:solidFill>
                </w14:textFill>
              </w:rPr>
              <w:t>1</w:t>
            </w:r>
            <w:r>
              <w:rPr>
                <w:rFonts w:ascii="Times New Roman" w:hAnsi="Times New Roman"/>
                <w:color w:val="000000" w:themeColor="text1"/>
                <w:sz w:val="24"/>
                <w14:textFill>
                  <w14:solidFill>
                    <w14:schemeClr w14:val="tx1"/>
                  </w14:solidFill>
                </w14:textFill>
              </w:rPr>
              <w:t>t/a。根据《国家危险废物名录》</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2021版</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，设备检修固废属危险废物[</w:t>
            </w:r>
            <w:r>
              <w:rPr>
                <w:rFonts w:ascii="Times New Roman" w:hAnsi="Times New Roman"/>
                <w:color w:val="000000" w:themeColor="text1"/>
                <w:sz w:val="24"/>
                <w:szCs w:val="24"/>
                <w14:textFill>
                  <w14:solidFill>
                    <w14:schemeClr w14:val="tx1"/>
                  </w14:solidFill>
                </w14:textFill>
              </w:rPr>
              <w:t>HW08 废矿物油与含矿物油废物</w:t>
            </w:r>
            <w:r>
              <w:rPr>
                <w:rFonts w:ascii="Times New Roman" w:hAnsi="Times New Roman"/>
                <w:color w:val="000000" w:themeColor="text1"/>
                <w:sz w:val="24"/>
                <w14:textFill>
                  <w14:solidFill>
                    <w14:schemeClr w14:val="tx1"/>
                  </w14:solidFill>
                </w14:textFill>
              </w:rPr>
              <w:t>，900-249-08]</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集中收集，危险废物暂存间暂存后，及时交由有资质单位处置。</w:t>
            </w:r>
          </w:p>
          <w:p>
            <w:pPr>
              <w:keepNext w:val="0"/>
              <w:keepLines w:val="0"/>
              <w:pageBreakBefore w:val="0"/>
              <w:kinsoku/>
              <w:wordWrap/>
              <w:overflowPunct/>
              <w:topLinePunct w:val="0"/>
              <w:bidi w:val="0"/>
              <w:snapToGrid/>
              <w:spacing w:line="360" w:lineRule="auto"/>
              <w:ind w:firstLine="420"/>
              <w:textAlignment w:val="auto"/>
              <w:rPr>
                <w:rFonts w:hint="default" w:ascii="Times New Roman" w:hAnsi="Times New Roman"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②</w:t>
            </w:r>
            <w:r>
              <w:rPr>
                <w:rFonts w:ascii="Times New Roman" w:hAnsi="Times New Roman"/>
                <w:color w:val="000000" w:themeColor="text1"/>
                <w:sz w:val="24"/>
                <w14:textFill>
                  <w14:solidFill>
                    <w14:schemeClr w14:val="tx1"/>
                  </w14:solidFill>
                </w14:textFill>
              </w:rPr>
              <w:t>废变压器油</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35kV油浸式箱式变压器在事故工况时会产生废变压油，</w:t>
            </w:r>
            <w:r>
              <w:rPr>
                <w:rFonts w:ascii="Times New Roman" w:hAnsi="Times New Roman"/>
                <w:color w:val="000000" w:themeColor="text1"/>
                <w:sz w:val="24"/>
                <w:szCs w:val="24"/>
                <w14:textFill>
                  <w14:solidFill>
                    <w14:schemeClr w14:val="tx1"/>
                  </w14:solidFill>
                </w14:textFill>
              </w:rPr>
              <w:t>每周巡检一次，</w:t>
            </w:r>
            <w:r>
              <w:rPr>
                <w:rFonts w:hint="eastAsia"/>
                <w:color w:val="000000" w:themeColor="text1"/>
                <w:sz w:val="24"/>
                <w:lang w:val="en-US" w:eastAsia="zh-CN"/>
                <w14:textFill>
                  <w14:solidFill>
                    <w14:schemeClr w14:val="tx1"/>
                  </w14:solidFill>
                </w14:textFill>
              </w:rPr>
              <w:t>变压器废油</w:t>
            </w:r>
            <w:r>
              <w:rPr>
                <w:rFonts w:ascii="Times New Roman" w:hAnsi="Times New Roman"/>
                <w:color w:val="000000" w:themeColor="text1"/>
                <w:sz w:val="24"/>
                <w:szCs w:val="24"/>
                <w14:textFill>
                  <w14:solidFill>
                    <w14:schemeClr w14:val="tx1"/>
                  </w14:solidFill>
                </w14:textFill>
              </w:rPr>
              <w:t>的产生量</w:t>
            </w:r>
            <w:r>
              <w:rPr>
                <w:rFonts w:hint="eastAsia"/>
                <w:color w:val="000000" w:themeColor="text1"/>
                <w:sz w:val="24"/>
                <w:szCs w:val="24"/>
                <w:lang w:val="en-US" w:eastAsia="zh-CN"/>
                <w14:textFill>
                  <w14:solidFill>
                    <w14:schemeClr w14:val="tx1"/>
                  </w14:solidFill>
                </w14:textFill>
              </w:rPr>
              <w:t>约</w:t>
            </w:r>
            <w:r>
              <w:rPr>
                <w:rFonts w:ascii="Times New Roman" w:hAnsi="Times New Roman"/>
                <w:color w:val="000000" w:themeColor="text1"/>
                <w:sz w:val="24"/>
                <w:szCs w:val="24"/>
                <w14:textFill>
                  <w14:solidFill>
                    <w14:schemeClr w14:val="tx1"/>
                  </w14:solidFill>
                </w14:textFill>
              </w:rPr>
              <w:t>0.</w:t>
            </w:r>
            <w:r>
              <w:rPr>
                <w:rFonts w:hint="eastAsia"/>
                <w:color w:val="000000" w:themeColor="text1"/>
                <w:sz w:val="24"/>
                <w:szCs w:val="24"/>
                <w:lang w:val="en-US" w:eastAsia="zh-CN"/>
                <w14:textFill>
                  <w14:solidFill>
                    <w14:schemeClr w14:val="tx1"/>
                  </w14:solidFill>
                </w14:textFill>
              </w:rPr>
              <w:t>2</w:t>
            </w:r>
            <w:r>
              <w:rPr>
                <w:rFonts w:ascii="Times New Roman" w:hAnsi="Times New Roman" w:eastAsia="Times New Roman"/>
                <w:color w:val="000000" w:themeColor="text1"/>
                <w:sz w:val="24"/>
                <w:szCs w:val="24"/>
                <w14:textFill>
                  <w14:solidFill>
                    <w14:schemeClr w14:val="tx1"/>
                  </w14:solidFill>
                </w14:textFill>
              </w:rPr>
              <w:t>t/a</w:t>
            </w:r>
            <w:r>
              <w:rPr>
                <w:rFonts w:hint="eastAsia" w:eastAsia="宋体"/>
                <w:color w:val="000000" w:themeColor="text1"/>
                <w:sz w:val="24"/>
                <w:szCs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根据《国家危险废物名录》</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2021版</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，变压器废油</w:t>
            </w:r>
            <w:r>
              <w:rPr>
                <w:rFonts w:ascii="Times New Roman" w:hAnsi="Times New Roman"/>
                <w:color w:val="000000" w:themeColor="text1"/>
                <w:sz w:val="24"/>
                <w:szCs w:val="24"/>
                <w14:textFill>
                  <w14:solidFill>
                    <w14:schemeClr w14:val="tx1"/>
                  </w14:solidFill>
                </w14:textFill>
              </w:rPr>
              <w:t>属于危险废物（HW08 废矿物油与含矿物油废物，</w:t>
            </w:r>
            <w:r>
              <w:rPr>
                <w:rFonts w:ascii="Times New Roman" w:hAnsi="Times New Roman" w:eastAsia="Times New Roman"/>
                <w:color w:val="000000" w:themeColor="text1"/>
                <w:sz w:val="24"/>
                <w:szCs w:val="24"/>
                <w14:textFill>
                  <w14:solidFill>
                    <w14:schemeClr w14:val="tx1"/>
                  </w14:solidFill>
                </w14:textFill>
              </w:rPr>
              <w:t>900-220-08/900-219-08</w:t>
            </w:r>
            <w:r>
              <w:rPr>
                <w:rFonts w:ascii="Times New Roman" w:hAnsi="Times New Roman"/>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项目设置</w:t>
            </w:r>
            <w:r>
              <w:rPr>
                <w:rFonts w:hint="eastAsia"/>
                <w:color w:val="000000" w:themeColor="text1"/>
                <w:sz w:val="24"/>
                <w:szCs w:val="24"/>
                <w:lang w:val="en-US" w:eastAsia="zh-CN"/>
                <w14:textFill>
                  <w14:solidFill>
                    <w14:schemeClr w14:val="tx1"/>
                  </w14:solidFill>
                </w14:textFill>
              </w:rPr>
              <w:t>8</w:t>
            </w:r>
            <w:r>
              <w:rPr>
                <w:rFonts w:ascii="Times New Roman" w:hAnsi="Times New Roman"/>
                <w:color w:val="000000" w:themeColor="text1"/>
                <w:sz w:val="24"/>
                <w:szCs w:val="24"/>
                <w14:textFill>
                  <w14:solidFill>
                    <w14:schemeClr w14:val="tx1"/>
                  </w14:solidFill>
                </w14:textFill>
              </w:rPr>
              <w:t>个油浸式组合箱变，变压器的储油量为2.5t</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密度为895kg/m</w:t>
            </w:r>
            <w:r>
              <w:rPr>
                <w:rFonts w:hint="eastAsia" w:ascii="Times New Roman" w:hAnsi="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color w:val="000000" w:themeColor="text1"/>
                <w:sz w:val="24"/>
                <w:szCs w:val="24"/>
                <w:vertAlign w:val="baseline"/>
                <w:lang w:val="en-US" w:eastAsia="zh-CN"/>
                <w14:textFill>
                  <w14:solidFill>
                    <w14:schemeClr w14:val="tx1"/>
                  </w14:solidFill>
                </w14:textFill>
              </w:rPr>
              <w:t>，2.79</w:t>
            </w:r>
            <w:r>
              <w:rPr>
                <w:rFonts w:hint="eastAsia" w:ascii="Times New Roman" w:hAnsi="Times New Roman"/>
                <w:color w:val="000000" w:themeColor="text1"/>
                <w:sz w:val="24"/>
                <w:szCs w:val="24"/>
                <w:lang w:val="en-US" w:eastAsia="zh-CN"/>
                <w14:textFill>
                  <w14:solidFill>
                    <w14:schemeClr w14:val="tx1"/>
                  </w14:solidFill>
                </w14:textFill>
              </w:rPr>
              <w:t>m</w:t>
            </w:r>
            <w:r>
              <w:rPr>
                <w:rFonts w:hint="eastAsia" w:ascii="Times New Roman" w:hAnsi="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环评提出设置8个3m</w:t>
            </w:r>
            <w:r>
              <w:rPr>
                <w:rFonts w:hint="eastAsia"/>
                <w:color w:val="000000" w:themeColor="text1"/>
                <w:sz w:val="24"/>
                <w:szCs w:val="24"/>
                <w:vertAlign w:val="superscript"/>
                <w:lang w:val="en-US" w:eastAsia="zh-CN"/>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事故油池，</w:t>
            </w:r>
            <w:r>
              <w:rPr>
                <w:rFonts w:hint="eastAsia"/>
                <w:color w:val="000000" w:themeColor="text1"/>
                <w:sz w:val="24"/>
                <w:szCs w:val="24"/>
                <w:lang w:val="zh-CN" w:eastAsia="zh-CN"/>
                <w14:textFill>
                  <w14:solidFill>
                    <w14:schemeClr w14:val="tx1"/>
                  </w14:solidFill>
                </w14:textFill>
              </w:rPr>
              <w:t>箱变检修及事故状态废油由软管自箱变油箱引至下方事故油池收集，</w:t>
            </w:r>
            <w:r>
              <w:rPr>
                <w:rFonts w:hint="eastAsia"/>
                <w:color w:val="000000" w:themeColor="text1"/>
                <w:sz w:val="24"/>
                <w:lang w:val="en-US" w:eastAsia="zh-CN"/>
                <w14:textFill>
                  <w14:solidFill>
                    <w14:schemeClr w14:val="tx1"/>
                  </w14:solidFill>
                </w14:textFill>
              </w:rPr>
              <w:t>危险废物暂存间暂存后，交由有资质单位处置。</w:t>
            </w:r>
          </w:p>
          <w:p>
            <w:pPr>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③</w:t>
            </w:r>
            <w:r>
              <w:rPr>
                <w:rFonts w:ascii="Times New Roman" w:hAnsi="Times New Roman"/>
                <w:color w:val="000000" w:themeColor="text1"/>
                <w:sz w:val="24"/>
                <w14:textFill>
                  <w14:solidFill>
                    <w14:schemeClr w14:val="tx1"/>
                  </w14:solidFill>
                </w14:textFill>
              </w:rPr>
              <w:t>废润滑油</w:t>
            </w:r>
          </w:p>
          <w:p>
            <w:pPr>
              <w:keepNext w:val="0"/>
              <w:keepLines w:val="0"/>
              <w:pageBreakBefore w:val="0"/>
              <w:kinsoku/>
              <w:wordWrap/>
              <w:overflowPunct/>
              <w:topLinePunct w:val="0"/>
              <w:bidi w:val="0"/>
              <w:snapToGrid/>
              <w:spacing w:line="360" w:lineRule="auto"/>
              <w:ind w:firstLine="480" w:firstLineChars="200"/>
              <w:textAlignment w:val="auto"/>
              <w:rPr>
                <w:rFonts w:hint="eastAsia"/>
                <w:color w:val="000000" w:themeColor="text1"/>
                <w:sz w:val="24"/>
                <w:lang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风电机组与变压器等机械需定期添加和更换润滑油，每周巡检一次，润滑油在备品备件库中少量存放，储存量为0.1t，每年用量为0.0</w:t>
            </w:r>
            <w:r>
              <w:rPr>
                <w:rFonts w:hint="eastAsia"/>
                <w:color w:val="000000" w:themeColor="text1"/>
                <w:sz w:val="24"/>
                <w:lang w:val="en-US" w:eastAsia="zh-CN"/>
                <w14:textFill>
                  <w14:solidFill>
                    <w14:schemeClr w14:val="tx1"/>
                  </w14:solidFill>
                </w14:textFill>
              </w:rPr>
              <w:t>2</w:t>
            </w:r>
            <w:r>
              <w:rPr>
                <w:rFonts w:ascii="Times New Roman" w:hAnsi="Times New Roman"/>
                <w:color w:val="000000" w:themeColor="text1"/>
                <w:sz w:val="24"/>
                <w14:textFill>
                  <w14:solidFill>
                    <w14:schemeClr w14:val="tx1"/>
                  </w14:solidFill>
                </w14:textFill>
              </w:rPr>
              <w:t>t/a，更换后的废弃润滑油产生量约为0.0</w:t>
            </w:r>
            <w:r>
              <w:rPr>
                <w:rFonts w:hint="eastAsia"/>
                <w:color w:val="000000" w:themeColor="text1"/>
                <w:sz w:val="24"/>
                <w:lang w:val="en-US" w:eastAsia="zh-CN"/>
                <w14:textFill>
                  <w14:solidFill>
                    <w14:schemeClr w14:val="tx1"/>
                  </w14:solidFill>
                </w14:textFill>
              </w:rPr>
              <w:t>1</w:t>
            </w:r>
            <w:r>
              <w:rPr>
                <w:rFonts w:ascii="Times New Roman" w:hAnsi="Times New Roman"/>
                <w:color w:val="000000" w:themeColor="text1"/>
                <w:sz w:val="24"/>
                <w14:textFill>
                  <w14:solidFill>
                    <w14:schemeClr w14:val="tx1"/>
                  </w14:solidFill>
                </w14:textFill>
              </w:rPr>
              <w:t>t/a</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根据《国家危险废物名录》</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2021版</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，废润滑油属于危险废物（HW08 废矿物油与含矿物油废物 900-217-08）</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环评</w:t>
            </w:r>
            <w:r>
              <w:rPr>
                <w:rFonts w:hint="eastAsia"/>
                <w:color w:val="000000" w:themeColor="text1"/>
                <w:sz w:val="24"/>
                <w:lang w:eastAsia="zh-CN"/>
                <w14:textFill>
                  <w14:solidFill>
                    <w14:schemeClr w14:val="tx1"/>
                  </w14:solidFill>
                </w14:textFill>
              </w:rPr>
              <w:t>要求统一收集在废润滑油油桶内，在危废暂存间暂存后交由有资质单位处置。</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④</w:t>
            </w:r>
            <w:r>
              <w:rPr>
                <w:rFonts w:ascii="Times New Roman" w:hAnsi="Times New Roman"/>
                <w:color w:val="000000" w:themeColor="text1"/>
                <w:sz w:val="24"/>
                <w14:textFill>
                  <w14:solidFill>
                    <w14:schemeClr w14:val="tx1"/>
                  </w14:solidFill>
                </w14:textFill>
              </w:rPr>
              <w:t>废箱式变压器</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在运营过程中，风电场内有部分变压器损坏、报废情况，按每年平均损坏报废一个变压器计，废变压器产生量约0.1t/a。根据《国家危险废物名录》</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2021版</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，废变压器属危险废物[HW10多氯（溴）联苯类废物，900-008-10）]</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环评要求统一收集至</w:t>
            </w:r>
            <w:r>
              <w:rPr>
                <w:rFonts w:ascii="Times New Roman" w:hAnsi="Times New Roman"/>
                <w:color w:val="000000" w:themeColor="text1"/>
                <w:sz w:val="24"/>
                <w14:textFill>
                  <w14:solidFill>
                    <w14:schemeClr w14:val="tx1"/>
                  </w14:solidFill>
                </w14:textFill>
              </w:rPr>
              <w:t>危险废物暂存间，交由有</w:t>
            </w:r>
            <w:r>
              <w:rPr>
                <w:rFonts w:hint="eastAsia"/>
                <w:color w:val="000000" w:themeColor="text1"/>
                <w:sz w:val="24"/>
                <w:lang w:val="en-US" w:eastAsia="zh-CN"/>
                <w14:textFill>
                  <w14:solidFill>
                    <w14:schemeClr w14:val="tx1"/>
                  </w14:solidFill>
                </w14:textFill>
              </w:rPr>
              <w:t>资质单位</w:t>
            </w:r>
            <w:r>
              <w:rPr>
                <w:rFonts w:ascii="Times New Roman" w:hAnsi="Times New Roman"/>
                <w:color w:val="000000" w:themeColor="text1"/>
                <w:sz w:val="24"/>
                <w14:textFill>
                  <w14:solidFill>
                    <w14:schemeClr w14:val="tx1"/>
                  </w14:solidFill>
                </w14:textFill>
              </w:rPr>
              <w:t>回收</w:t>
            </w:r>
            <w:r>
              <w:rPr>
                <w:rFonts w:hint="eastAsia"/>
                <w:color w:val="000000" w:themeColor="text1"/>
                <w:sz w:val="24"/>
                <w:lang w:val="en-US" w:eastAsia="zh-CN"/>
                <w14:textFill>
                  <w14:solidFill>
                    <w14:schemeClr w14:val="tx1"/>
                  </w14:solidFill>
                </w14:textFill>
              </w:rPr>
              <w:t>处置</w:t>
            </w:r>
            <w:r>
              <w:rPr>
                <w:rFonts w:ascii="Times New Roman" w:hAnsi="Times New Roman"/>
                <w:color w:val="000000" w:themeColor="text1"/>
                <w:sz w:val="24"/>
                <w14:textFill>
                  <w14:solidFill>
                    <w14:schemeClr w14:val="tx1"/>
                  </w14:solidFill>
                </w14:textFill>
              </w:rPr>
              <w:t>。</w:t>
            </w:r>
          </w:p>
          <w:p>
            <w:pPr>
              <w:keepNext w:val="0"/>
              <w:keepLines w:val="0"/>
              <w:pageBreakBefore w:val="0"/>
              <w:kinsoku/>
              <w:wordWrap/>
              <w:overflowPunct/>
              <w:topLinePunct w:val="0"/>
              <w:bidi w:val="0"/>
              <w:snapToGrid/>
              <w:spacing w:line="360" w:lineRule="auto"/>
              <w:ind w:firstLine="420"/>
              <w:textAlignment w:val="auto"/>
              <w:rPr>
                <w:rFonts w:hint="eastAsia" w:ascii="Times New Roman" w:hAnsi="Times New Roman" w:cs="Times New Roman"/>
                <w:color w:val="000000" w:themeColor="text1"/>
                <w:sz w:val="24"/>
                <w:lang w:eastAsia="zh-CN"/>
                <w14:textFill>
                  <w14:solidFill>
                    <w14:schemeClr w14:val="tx1"/>
                  </w14:solidFill>
                </w14:textFill>
              </w:rPr>
            </w:pPr>
            <w:r>
              <w:rPr>
                <w:rFonts w:hint="eastAsia" w:ascii="Times New Roman" w:hAnsi="Times New Roman" w:cs="Times New Roman"/>
                <w:color w:val="000000" w:themeColor="text1"/>
                <w:sz w:val="24"/>
                <w:lang w:eastAsia="zh-CN"/>
                <w14:textFill>
                  <w14:solidFill>
                    <w14:schemeClr w14:val="tx1"/>
                  </w14:solidFill>
                </w14:textFill>
              </w:rPr>
              <w:t>采取上述防治措施后，</w:t>
            </w:r>
            <w:r>
              <w:rPr>
                <w:rFonts w:hint="eastAsia" w:ascii="Times New Roman" w:hAnsi="Times New Roman" w:cs="Times New Roman"/>
                <w:color w:val="000000" w:themeColor="text1"/>
                <w:sz w:val="24"/>
                <w:lang w:val="en-US" w:eastAsia="zh-CN"/>
                <w14:textFill>
                  <w14:solidFill>
                    <w14:schemeClr w14:val="tx1"/>
                  </w14:solidFill>
                </w14:textFill>
              </w:rPr>
              <w:t>项目</w:t>
            </w:r>
            <w:r>
              <w:rPr>
                <w:rFonts w:hint="eastAsia" w:ascii="Times New Roman" w:hAnsi="Times New Roman" w:cs="Times New Roman"/>
                <w:color w:val="000000" w:themeColor="text1"/>
                <w:sz w:val="24"/>
                <w:lang w:eastAsia="zh-CN"/>
                <w14:textFill>
                  <w14:solidFill>
                    <w14:schemeClr w14:val="tx1"/>
                  </w14:solidFill>
                </w14:textFill>
              </w:rPr>
              <w:t>产生的固废均得到妥善处理或处置，不会对周围环境产生不良影响。</w:t>
            </w:r>
          </w:p>
          <w:p>
            <w:pPr>
              <w:spacing w:line="360" w:lineRule="auto"/>
              <w:ind w:firstLine="420"/>
              <w:rPr>
                <w:rFonts w:hint="default" w:ascii="Times New Roman" w:hAnsi="Times New Roman" w:eastAsia="宋体"/>
                <w:b/>
                <w:bCs/>
                <w:color w:val="FF0000"/>
                <w:sz w:val="24"/>
                <w:lang w:val="en-US" w:eastAsia="zh-CN"/>
              </w:rPr>
            </w:pPr>
            <w:r>
              <w:rPr>
                <w:rFonts w:hint="eastAsia"/>
                <w:b/>
                <w:bCs/>
                <w:color w:val="FF0000"/>
                <w:sz w:val="24"/>
                <w:lang w:eastAsia="zh-CN"/>
              </w:rPr>
              <w:t>（</w:t>
            </w:r>
            <w:r>
              <w:rPr>
                <w:rFonts w:hint="eastAsia"/>
                <w:b/>
                <w:bCs/>
                <w:color w:val="FF0000"/>
                <w:sz w:val="24"/>
                <w:lang w:val="en-US" w:eastAsia="zh-CN"/>
              </w:rPr>
              <w:t>5</w:t>
            </w:r>
            <w:r>
              <w:rPr>
                <w:rFonts w:hint="eastAsia"/>
                <w:b/>
                <w:bCs/>
                <w:color w:val="FF0000"/>
                <w:sz w:val="24"/>
                <w:lang w:eastAsia="zh-CN"/>
              </w:rPr>
              <w:t>）</w:t>
            </w:r>
            <w:r>
              <w:rPr>
                <w:rFonts w:hint="eastAsia"/>
                <w:b/>
                <w:bCs/>
                <w:color w:val="FF0000"/>
                <w:sz w:val="24"/>
                <w:lang w:val="en-US" w:eastAsia="zh-CN"/>
              </w:rPr>
              <w:t>电磁辐射影响</w:t>
            </w:r>
          </w:p>
          <w:p>
            <w:pPr>
              <w:spacing w:line="360" w:lineRule="auto"/>
              <w:ind w:firstLine="420"/>
              <w:rPr>
                <w:rFonts w:hint="default" w:ascii="Times New Roman" w:hAnsi="Times New Roman" w:cs="Times New Roman"/>
                <w:color w:val="FF0000"/>
                <w:sz w:val="24"/>
                <w:lang w:val="en-US" w:eastAsia="zh-CN"/>
              </w:rPr>
            </w:pPr>
            <w:r>
              <w:rPr>
                <w:rFonts w:hint="eastAsia" w:ascii="Times New Roman" w:hAnsi="Times New Roman" w:cs="Times New Roman"/>
                <w:color w:val="FF0000"/>
                <w:sz w:val="24"/>
                <w:lang w:val="en-US" w:eastAsia="zh-CN"/>
              </w:rPr>
              <w:t>本次评价内容不包括</w:t>
            </w:r>
            <w:r>
              <w:rPr>
                <w:rFonts w:hint="eastAsia" w:cs="Times New Roman"/>
                <w:color w:val="FF0000"/>
                <w:sz w:val="24"/>
                <w:lang w:val="en-US" w:eastAsia="zh-CN"/>
              </w:rPr>
              <w:t>35kV开关站和外输线路的电磁辐射影响。</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6</w:t>
            </w:r>
            <w:r>
              <w:rPr>
                <w:rFonts w:hint="eastAsia"/>
                <w:b/>
                <w:bCs/>
                <w:color w:val="000000" w:themeColor="text1"/>
                <w:sz w:val="24"/>
                <w:lang w:eastAsia="zh-CN"/>
                <w14:textFill>
                  <w14:solidFill>
                    <w14:schemeClr w14:val="tx1"/>
                  </w14:solidFill>
                </w14:textFill>
              </w:rPr>
              <w:t>）</w:t>
            </w:r>
            <w:r>
              <w:rPr>
                <w:rFonts w:ascii="Times New Roman" w:hAnsi="Times New Roman"/>
                <w:b/>
                <w:bCs/>
                <w:color w:val="000000" w:themeColor="text1"/>
                <w:sz w:val="24"/>
                <w14:textFill>
                  <w14:solidFill>
                    <w14:schemeClr w14:val="tx1"/>
                  </w14:solidFill>
                </w14:textFill>
              </w:rPr>
              <w:t>生态影响</w:t>
            </w:r>
          </w:p>
          <w:p>
            <w:pPr>
              <w:keepNext w:val="0"/>
              <w:keepLines w:val="0"/>
              <w:pageBreakBefore w:val="0"/>
              <w:kinsoku/>
              <w:wordWrap/>
              <w:overflowPunct/>
              <w:topLinePunct w:val="0"/>
              <w:bidi w:val="0"/>
              <w:snapToGrid/>
              <w:spacing w:line="360" w:lineRule="auto"/>
              <w:ind w:firstLine="420"/>
              <w:textAlignment w:val="auto"/>
              <w:rPr>
                <w:rFonts w:hint="default"/>
                <w:color w:val="FF0000"/>
                <w:sz w:val="24"/>
                <w:lang w:val="en-US" w:eastAsia="zh-CN"/>
              </w:rPr>
            </w:pPr>
            <w:r>
              <w:rPr>
                <w:rFonts w:hint="eastAsia"/>
                <w:color w:val="FF0000"/>
                <w:sz w:val="24"/>
                <w:lang w:val="en-US" w:eastAsia="zh-CN"/>
              </w:rPr>
              <w:t>项目建成后一般农田变为永久占地，减小了农作物的产量；风机叶片阴影区对周边植被产生影响，风机的转动对野生动物产生影响。</w:t>
            </w:r>
          </w:p>
          <w:p>
            <w:pPr>
              <w:keepNext w:val="0"/>
              <w:keepLines w:val="0"/>
              <w:pageBreakBefore w:val="0"/>
              <w:kinsoku/>
              <w:wordWrap/>
              <w:overflowPunct/>
              <w:topLinePunct w:val="0"/>
              <w:bidi w:val="0"/>
              <w:snapToGrid/>
              <w:spacing w:line="360" w:lineRule="auto"/>
              <w:ind w:firstLine="420"/>
              <w:textAlignment w:val="auto"/>
              <w:rPr>
                <w:rFonts w:hint="default" w:ascii="Times New Roman" w:hAnsi="Times New Roman"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①植被影响分析</w:t>
            </w:r>
          </w:p>
          <w:p>
            <w:pPr>
              <w:keepNext w:val="0"/>
              <w:keepLines w:val="0"/>
              <w:pageBreakBefore w:val="0"/>
              <w:kinsoku/>
              <w:wordWrap/>
              <w:overflowPunct/>
              <w:topLinePunct w:val="0"/>
              <w:bidi w:val="0"/>
              <w:snapToGrid/>
              <w:spacing w:line="360" w:lineRule="auto"/>
              <w:ind w:firstLine="420"/>
              <w:textAlignment w:val="auto"/>
              <w:rPr>
                <w:rFonts w:hint="default" w:ascii="Times New Roman" w:hAnsi="Times New Roman" w:eastAsia="宋体"/>
                <w:color w:val="FF0000"/>
                <w:sz w:val="24"/>
                <w:lang w:val="en-US" w:eastAsia="zh-CN"/>
              </w:rPr>
            </w:pPr>
            <w:r>
              <w:rPr>
                <w:rFonts w:hint="eastAsia"/>
                <w:color w:val="FF0000"/>
                <w:sz w:val="24"/>
                <w:szCs w:val="24"/>
                <w:lang w:val="en-US" w:eastAsia="zh-CN"/>
              </w:rPr>
              <w:t>根据本项目生态专题对植被生物损失量的计算结果，</w:t>
            </w:r>
            <w:r>
              <w:rPr>
                <w:rFonts w:ascii="Times New Roman" w:hAnsi="Times New Roman"/>
                <w:color w:val="FF0000"/>
                <w:sz w:val="24"/>
              </w:rPr>
              <w:t>永久占地范围植被生物减少总量为</w:t>
            </w:r>
            <w:r>
              <w:rPr>
                <w:rFonts w:hint="eastAsia" w:ascii="Times New Roman" w:hAnsi="Times New Roman"/>
                <w:color w:val="FF0000"/>
                <w:sz w:val="24"/>
                <w:lang w:val="en-US" w:eastAsia="zh-CN"/>
              </w:rPr>
              <w:t>4.42</w:t>
            </w:r>
            <w:r>
              <w:rPr>
                <w:rFonts w:ascii="Times New Roman" w:hAnsi="Times New Roman"/>
                <w:color w:val="FF0000"/>
                <w:sz w:val="24"/>
              </w:rPr>
              <w:t>t</w:t>
            </w:r>
            <w:r>
              <w:rPr>
                <w:rFonts w:hint="eastAsia"/>
                <w:color w:val="FF0000"/>
                <w:sz w:val="24"/>
                <w:lang w:eastAsia="zh-CN"/>
              </w:rPr>
              <w:t>；</w:t>
            </w:r>
            <w:r>
              <w:rPr>
                <w:rFonts w:hint="eastAsia"/>
                <w:color w:val="FF0000"/>
                <w:sz w:val="24"/>
                <w:lang w:val="en-US" w:eastAsia="zh-CN"/>
              </w:rPr>
              <w:t>环评建议对耕地进行异地划拨，进行耕种，减小永久占地对农作物产量的影响；同时对开关站空地进行植树和种草，合理绿化。</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施工结束后</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在叶片阴影影响范围外选择项目拟建地的原有优势物种；影响范围内可根据叶片阴影带来的日照强度及日照时间长短的改变有针对性的选择喜阴、耐寒耐早等能较快适应当地气候及日照情况的植物，减少风机叶片阴影对植被的影响。</w:t>
            </w:r>
          </w:p>
          <w:p>
            <w:pPr>
              <w:keepNext w:val="0"/>
              <w:keepLines w:val="0"/>
              <w:pageBreakBefore w:val="0"/>
              <w:kinsoku/>
              <w:wordWrap/>
              <w:overflowPunct/>
              <w:topLinePunct w:val="0"/>
              <w:bidi w:val="0"/>
              <w:snapToGrid/>
              <w:spacing w:line="360" w:lineRule="auto"/>
              <w:ind w:firstLine="42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②野生动物影响分析</w:t>
            </w:r>
          </w:p>
          <w:p>
            <w:pPr>
              <w:keepNext w:val="0"/>
              <w:keepLines w:val="0"/>
              <w:pageBreakBefore w:val="0"/>
              <w:kinsoku/>
              <w:wordWrap/>
              <w:overflowPunct/>
              <w:topLinePunct w:val="0"/>
              <w:bidi w:val="0"/>
              <w:snapToGrid/>
              <w:spacing w:line="360" w:lineRule="auto"/>
              <w:ind w:firstLine="420"/>
              <w:textAlignment w:val="auto"/>
              <w:rPr>
                <w:rFonts w:hint="default" w:eastAsia="宋体"/>
                <w:color w:val="000000" w:themeColor="text1"/>
                <w:lang w:val="en-US" w:eastAsia="zh-CN"/>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项目风电场生态评价范围内无国家重点保护野生动物</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无</w:t>
            </w:r>
            <w:r>
              <w:rPr>
                <w:rFonts w:ascii="Times New Roman" w:hAnsi="Times New Roman" w:eastAsia="宋体" w:cs="Times New Roman"/>
                <w:color w:val="000000" w:themeColor="text1"/>
                <w:sz w:val="24"/>
                <w14:textFill>
                  <w14:solidFill>
                    <w14:schemeClr w14:val="tx1"/>
                  </w14:solidFill>
                </w14:textFill>
              </w:rPr>
              <w:t>珍惜鸟类或重点保护鸟类</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无鸟类迁徙通道以及栖息地</w:t>
            </w:r>
            <w:r>
              <w:rPr>
                <w:rFonts w:ascii="Times New Roman" w:hAnsi="Times New Roman" w:eastAsia="宋体" w:cs="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项目所在地区域活动的鸟类数量较少，鸟类有较为敏锐的视力</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采取</w:t>
            </w:r>
            <w:r>
              <w:rPr>
                <w:rFonts w:ascii="Times New Roman" w:hAnsi="Times New Roman"/>
                <w:color w:val="000000" w:themeColor="text1"/>
                <w:sz w:val="24"/>
                <w14:textFill>
                  <w14:solidFill>
                    <w14:schemeClr w14:val="tx1"/>
                  </w14:solidFill>
                </w14:textFill>
              </w:rPr>
              <w:t>在风机上图上亚光涂料</w:t>
            </w:r>
            <w:r>
              <w:rPr>
                <w:rFonts w:hint="eastAsia"/>
                <w:color w:val="000000" w:themeColor="text1"/>
                <w:sz w:val="24"/>
                <w:lang w:val="en-US" w:eastAsia="zh-CN"/>
                <w14:textFill>
                  <w14:solidFill>
                    <w14:schemeClr w14:val="tx1"/>
                  </w14:solidFill>
                </w14:textFill>
              </w:rPr>
              <w:t>的措施，可以</w:t>
            </w:r>
            <w:r>
              <w:rPr>
                <w:rFonts w:ascii="Times New Roman" w:hAnsi="Times New Roman"/>
                <w:color w:val="000000" w:themeColor="text1"/>
                <w:sz w:val="24"/>
                <w14:textFill>
                  <w14:solidFill>
                    <w14:schemeClr w14:val="tx1"/>
                  </w14:solidFill>
                </w14:textFill>
              </w:rPr>
              <w:t>避开运行中的风机。该项目风电场范围内无野生动物重要觅食地、饮水地</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风电场范围内常见的留鸟</w:t>
            </w:r>
            <w:r>
              <w:rPr>
                <w:rFonts w:hint="eastAsia"/>
                <w:color w:val="000000" w:themeColor="text1"/>
                <w:sz w:val="24"/>
                <w:lang w:val="en-US" w:eastAsia="zh-CN"/>
                <w14:textFill>
                  <w14:solidFill>
                    <w14:schemeClr w14:val="tx1"/>
                  </w14:solidFill>
                </w14:textFill>
              </w:rPr>
              <w:t>和</w:t>
            </w:r>
            <w:r>
              <w:rPr>
                <w:rFonts w:ascii="Times New Roman" w:hAnsi="Times New Roman"/>
                <w:color w:val="000000" w:themeColor="text1"/>
                <w:sz w:val="24"/>
                <w14:textFill>
                  <w14:solidFill>
                    <w14:schemeClr w14:val="tx1"/>
                  </w14:solidFill>
                </w14:textFill>
              </w:rPr>
              <w:t>候鸟栖息活动范围不大于20m，远低于项目风机叶片可以扫过的最低位置。</w:t>
            </w:r>
            <w:r>
              <w:rPr>
                <w:rFonts w:hint="eastAsia" w:ascii="Times New Roman" w:hAnsi="Times New Roman"/>
                <w:color w:val="000000" w:themeColor="text1"/>
                <w:sz w:val="24"/>
                <w:lang w:val="en-US" w:eastAsia="zh-CN"/>
                <w14:textFill>
                  <w14:solidFill>
                    <w14:schemeClr w14:val="tx1"/>
                  </w14:solidFill>
                </w14:textFill>
              </w:rPr>
              <w:t>综上所述，项目的运行对动物的影响较小。</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b/>
                <w:bCs/>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综上所述，采取上述生态恢复措施后，本项目的运行对生态环境影响较小。</w:t>
            </w:r>
            <w:r>
              <w:rPr>
                <w:rFonts w:ascii="Times New Roman" w:hAnsi="Times New Roman"/>
                <w:color w:val="000000" w:themeColor="text1"/>
                <w:sz w:val="24"/>
                <w14:textFill>
                  <w14:solidFill>
                    <w14:schemeClr w14:val="tx1"/>
                  </w14:solidFill>
                </w14:textFill>
              </w:rPr>
              <w:t>项目</w:t>
            </w:r>
            <w:r>
              <w:rPr>
                <w:rFonts w:hint="eastAsia"/>
                <w:color w:val="000000" w:themeColor="text1"/>
                <w:sz w:val="24"/>
                <w:lang w:val="en-US" w:eastAsia="zh-CN"/>
                <w14:textFill>
                  <w14:solidFill>
                    <w14:schemeClr w14:val="tx1"/>
                  </w14:solidFill>
                </w14:textFill>
              </w:rPr>
              <w:t>运营期</w:t>
            </w:r>
            <w:r>
              <w:rPr>
                <w:rFonts w:ascii="Times New Roman" w:hAnsi="Times New Roman"/>
                <w:color w:val="000000" w:themeColor="text1"/>
                <w:sz w:val="24"/>
                <w14:textFill>
                  <w14:solidFill>
                    <w14:schemeClr w14:val="tx1"/>
                  </w14:solidFill>
                </w14:textFill>
              </w:rPr>
              <w:t>生态环境分析详见生态专题。</w:t>
            </w:r>
          </w:p>
          <w:p>
            <w:pPr>
              <w:keepNext w:val="0"/>
              <w:keepLines w:val="0"/>
              <w:pageBreakBefore w:val="0"/>
              <w:kinsoku/>
              <w:wordWrap/>
              <w:overflowPunct/>
              <w:topLinePunct w:val="0"/>
              <w:bidi w:val="0"/>
              <w:snapToGrid/>
              <w:spacing w:line="360" w:lineRule="auto"/>
              <w:ind w:firstLine="420"/>
              <w:textAlignment w:val="auto"/>
              <w:rPr>
                <w:rFonts w:hint="eastAsia" w:ascii="Times New Roman" w:hAnsi="Times New Roman"/>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（6）环境风险分析</w:t>
            </w:r>
          </w:p>
          <w:p>
            <w:pPr>
              <w:keepNext w:val="0"/>
              <w:keepLines w:val="0"/>
              <w:pageBreakBefore w:val="0"/>
              <w:kinsoku/>
              <w:wordWrap/>
              <w:overflowPunct/>
              <w:topLinePunct w:val="0"/>
              <w:bidi w:val="0"/>
              <w:snapToGrid/>
              <w:spacing w:line="360" w:lineRule="auto"/>
              <w:ind w:firstLine="480" w:firstLineChars="200"/>
              <w:jc w:val="left"/>
              <w:textAlignment w:val="auto"/>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①风险源</w:t>
            </w:r>
            <w:r>
              <w:rPr>
                <w:rFonts w:ascii="Times New Roman" w:hAnsi="Times New Roman"/>
                <w:color w:val="000000" w:themeColor="text1"/>
                <w:sz w:val="24"/>
                <w14:textFill>
                  <w14:solidFill>
                    <w14:schemeClr w14:val="tx1"/>
                  </w14:solidFill>
                </w14:textFill>
              </w:rPr>
              <w:t>调查</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本项目涉及的危险物质包括变压油和机油等，变压油主要在变压器中分散存放，少量机油位于开关站内危废暂存间中，机油最大储存量为0.5t/a，每个风机处的变压器的储油量为2.5t。</w:t>
            </w:r>
          </w:p>
          <w:p>
            <w:pPr>
              <w:keepNext w:val="0"/>
              <w:keepLines w:val="0"/>
              <w:pageBreakBefore w:val="0"/>
              <w:kinsoku/>
              <w:wordWrap/>
              <w:overflowPunct/>
              <w:topLinePunct w:val="0"/>
              <w:bidi w:val="0"/>
              <w:snapToGrid/>
              <w:spacing w:line="360" w:lineRule="auto"/>
              <w:ind w:firstLine="480" w:firstLineChars="200"/>
              <w:jc w:val="left"/>
              <w:textAlignment w:val="auto"/>
              <w:rPr>
                <w:rFonts w:hint="default" w:ascii="Times New Roman" w:hAnsi="Times New Roman" w:eastAsia="宋体"/>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按照《建设项目环境风险评价技术导则》（HJ169-2018）中附录B中突发环境事件风险物质及临界量</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确定本项目的Q值如下表4-7。</w:t>
            </w:r>
          </w:p>
          <w:p>
            <w:pPr>
              <w:pStyle w:val="44"/>
              <w:keepNext w:val="0"/>
              <w:keepLines w:val="0"/>
              <w:pageBreakBefore w:val="0"/>
              <w:kinsoku/>
              <w:wordWrap/>
              <w:overflowPunct/>
              <w:topLinePunct w:val="0"/>
              <w:bidi w:val="0"/>
              <w:snapToGrid/>
              <w:spacing w:line="240" w:lineRule="auto"/>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表</w:t>
            </w:r>
            <w:r>
              <w:rPr>
                <w:rFonts w:hint="eastAsia" w:eastAsia="宋体"/>
                <w:color w:val="000000" w:themeColor="text1"/>
                <w:lang w:val="en-US" w:eastAsia="zh-CN"/>
                <w14:textFill>
                  <w14:solidFill>
                    <w14:schemeClr w14:val="tx1"/>
                  </w14:solidFill>
                </w14:textFill>
              </w:rPr>
              <w:t>4-7</w:t>
            </w:r>
            <w:r>
              <w:rPr>
                <w:rFonts w:ascii="Times New Roman" w:hAnsi="Times New Roman" w:eastAsia="宋体"/>
                <w:color w:val="000000" w:themeColor="text1"/>
                <w14:textFill>
                  <w14:solidFill>
                    <w14:schemeClr w14:val="tx1"/>
                  </w14:solidFill>
                </w14:textFill>
              </w:rPr>
              <w:t xml:space="preserve">  突发环境事件风险物质及临界值</w:t>
            </w:r>
          </w:p>
          <w:tbl>
            <w:tblPr>
              <w:tblStyle w:val="19"/>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753"/>
              <w:gridCol w:w="1591"/>
              <w:gridCol w:w="1472"/>
              <w:gridCol w:w="1338"/>
              <w:gridCol w:w="14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9" w:type="pct"/>
                  <w:tcBorders>
                    <w:tl2br w:val="nil"/>
                    <w:tr2bl w:val="nil"/>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序号</w:t>
                  </w:r>
                </w:p>
              </w:tc>
              <w:tc>
                <w:tcPr>
                  <w:tcW w:w="1060" w:type="pct"/>
                  <w:tcBorders>
                    <w:tl2br w:val="nil"/>
                    <w:tr2bl w:val="nil"/>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危险物质名称</w:t>
                  </w:r>
                </w:p>
              </w:tc>
              <w:tc>
                <w:tcPr>
                  <w:tcW w:w="962" w:type="pct"/>
                  <w:tcBorders>
                    <w:tl2br w:val="nil"/>
                    <w:tr2bl w:val="nil"/>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CAS号/物质名称</w:t>
                  </w:r>
                </w:p>
              </w:tc>
              <w:tc>
                <w:tcPr>
                  <w:tcW w:w="890" w:type="pct"/>
                  <w:tcBorders>
                    <w:tl2br w:val="nil"/>
                    <w:tr2bl w:val="nil"/>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最大存在总量q</w:t>
                  </w:r>
                  <w:r>
                    <w:rPr>
                      <w:rFonts w:ascii="Times New Roman" w:hAnsi="Times New Roman"/>
                      <w:color w:val="000000" w:themeColor="text1"/>
                      <w:szCs w:val="21"/>
                      <w:vertAlign w:val="subscript"/>
                      <w14:textFill>
                        <w14:solidFill>
                          <w14:schemeClr w14:val="tx1"/>
                        </w14:solidFill>
                      </w14:textFill>
                    </w:rPr>
                    <w:t>n</w:t>
                  </w:r>
                  <w:r>
                    <w:rPr>
                      <w:rFonts w:ascii="Times New Roman" w:hAnsi="Times New Roman"/>
                      <w:color w:val="000000" w:themeColor="text1"/>
                      <w:szCs w:val="21"/>
                      <w14:textFill>
                        <w14:solidFill>
                          <w14:schemeClr w14:val="tx1"/>
                        </w14:solidFill>
                      </w14:textFill>
                    </w:rPr>
                    <w:t>/t</w:t>
                  </w:r>
                </w:p>
              </w:tc>
              <w:tc>
                <w:tcPr>
                  <w:tcW w:w="808" w:type="pct"/>
                  <w:tcBorders>
                    <w:tl2br w:val="nil"/>
                    <w:tr2bl w:val="nil"/>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临界量</w:t>
                  </w:r>
                </w:p>
                <w:p>
                  <w:pPr>
                    <w:keepNext w:val="0"/>
                    <w:keepLines w:val="0"/>
                    <w:pageBreakBefore w:val="0"/>
                    <w:kinsoku/>
                    <w:wordWrap/>
                    <w:overflowPunct/>
                    <w:topLinePunct w:val="0"/>
                    <w:bidi w:val="0"/>
                    <w:snapToGrid/>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Q</w:t>
                  </w:r>
                  <w:r>
                    <w:rPr>
                      <w:rFonts w:ascii="Times New Roman" w:hAnsi="Times New Roman"/>
                      <w:color w:val="000000" w:themeColor="text1"/>
                      <w:szCs w:val="21"/>
                      <w:vertAlign w:val="subscript"/>
                      <w14:textFill>
                        <w14:solidFill>
                          <w14:schemeClr w14:val="tx1"/>
                        </w14:solidFill>
                      </w14:textFill>
                    </w:rPr>
                    <w:t>n</w:t>
                  </w:r>
                  <w:r>
                    <w:rPr>
                      <w:rFonts w:ascii="Times New Roman" w:hAnsi="Times New Roman"/>
                      <w:color w:val="000000" w:themeColor="text1"/>
                      <w:szCs w:val="21"/>
                      <w14:textFill>
                        <w14:solidFill>
                          <w14:schemeClr w14:val="tx1"/>
                        </w14:solidFill>
                      </w14:textFill>
                    </w:rPr>
                    <w:t>/t</w:t>
                  </w:r>
                </w:p>
              </w:tc>
              <w:tc>
                <w:tcPr>
                  <w:tcW w:w="849" w:type="pct"/>
                  <w:tcBorders>
                    <w:tl2br w:val="nil"/>
                    <w:tr2bl w:val="nil"/>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该种危险物质Q值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9" w:type="pct"/>
                  <w:tcBorders>
                    <w:tl2br w:val="nil"/>
                    <w:tr2bl w:val="nil"/>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p>
              </w:tc>
              <w:tc>
                <w:tcPr>
                  <w:tcW w:w="1060" w:type="pct"/>
                  <w:tcBorders>
                    <w:tl2br w:val="nil"/>
                    <w:tr2bl w:val="nil"/>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风机处的变压油</w:t>
                  </w:r>
                </w:p>
              </w:tc>
              <w:tc>
                <w:tcPr>
                  <w:tcW w:w="962" w:type="pct"/>
                  <w:tcBorders>
                    <w:tl2br w:val="nil"/>
                    <w:tr2bl w:val="nil"/>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/（油类物质）</w:t>
                  </w:r>
                </w:p>
              </w:tc>
              <w:tc>
                <w:tcPr>
                  <w:tcW w:w="890" w:type="pct"/>
                  <w:tcBorders>
                    <w:tl2br w:val="nil"/>
                    <w:tr2bl w:val="nil"/>
                  </w:tcBorders>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w:t>
                  </w:r>
                </w:p>
              </w:tc>
              <w:tc>
                <w:tcPr>
                  <w:tcW w:w="808" w:type="pct"/>
                  <w:tcBorders>
                    <w:tl2br w:val="nil"/>
                    <w:tr2bl w:val="nil"/>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2500</w:t>
                  </w:r>
                </w:p>
              </w:tc>
              <w:tc>
                <w:tcPr>
                  <w:tcW w:w="849" w:type="pct"/>
                  <w:tcBorders>
                    <w:tl2br w:val="nil"/>
                    <w:tr2bl w:val="nil"/>
                  </w:tcBorders>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29" w:type="pct"/>
                  <w:tcBorders>
                    <w:tl2br w:val="nil"/>
                    <w:tr2bl w:val="nil"/>
                  </w:tcBorders>
                  <w:vAlign w:val="center"/>
                </w:tcPr>
                <w:p>
                  <w:pPr>
                    <w:keepNext w:val="0"/>
                    <w:keepLines w:val="0"/>
                    <w:pageBreakBefore w:val="0"/>
                    <w:kinsoku/>
                    <w:wordWrap/>
                    <w:overflowPunct/>
                    <w:topLinePunct w:val="0"/>
                    <w:bidi w:val="0"/>
                    <w:snapToGrid/>
                    <w:jc w:val="center"/>
                    <w:textAlignment w:val="auto"/>
                    <w:rPr>
                      <w:rFonts w:hint="eastAsia" w:ascii="Times New Roman" w:hAnsi="Times New Roman"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1060" w:type="pct"/>
                  <w:tcBorders>
                    <w:tl2br w:val="nil"/>
                    <w:tr2bl w:val="nil"/>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机油</w:t>
                  </w:r>
                </w:p>
              </w:tc>
              <w:tc>
                <w:tcPr>
                  <w:tcW w:w="962" w:type="pct"/>
                  <w:tcBorders>
                    <w:tl2br w:val="nil"/>
                    <w:tr2bl w:val="nil"/>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/（油类物质）</w:t>
                  </w:r>
                </w:p>
              </w:tc>
              <w:tc>
                <w:tcPr>
                  <w:tcW w:w="890" w:type="pct"/>
                  <w:tcBorders>
                    <w:tl2br w:val="nil"/>
                    <w:tr2bl w:val="nil"/>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0.5</w:t>
                  </w:r>
                </w:p>
              </w:tc>
              <w:tc>
                <w:tcPr>
                  <w:tcW w:w="808" w:type="pct"/>
                  <w:tcBorders>
                    <w:tl2br w:val="nil"/>
                    <w:tr2bl w:val="nil"/>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2500</w:t>
                  </w:r>
                </w:p>
              </w:tc>
              <w:tc>
                <w:tcPr>
                  <w:tcW w:w="849" w:type="pct"/>
                  <w:tcBorders>
                    <w:tl2br w:val="nil"/>
                    <w:tr2bl w:val="nil"/>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150" w:type="pct"/>
                  <w:gridSpan w:val="5"/>
                  <w:tcBorders>
                    <w:tl2br w:val="nil"/>
                    <w:tr2bl w:val="nil"/>
                  </w:tcBorders>
                  <w:vAlign w:val="center"/>
                </w:tcPr>
                <w:p>
                  <w:pPr>
                    <w:keepNext w:val="0"/>
                    <w:keepLines w:val="0"/>
                    <w:pageBreakBefore w:val="0"/>
                    <w:kinsoku/>
                    <w:wordWrap/>
                    <w:overflowPunct/>
                    <w:topLinePunct w:val="0"/>
                    <w:bidi w:val="0"/>
                    <w:snapToGrid/>
                    <w:jc w:val="center"/>
                    <w:textAlignment w:val="auto"/>
                    <w:rPr>
                      <w:rFonts w:ascii="Times New Roman" w:hAnsi="Times New Roman" w:eastAsia="黑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项目Q值</w:t>
                  </w:r>
                </w:p>
              </w:tc>
              <w:tc>
                <w:tcPr>
                  <w:tcW w:w="849" w:type="pct"/>
                  <w:tcBorders>
                    <w:tl2br w:val="nil"/>
                    <w:tr2bl w:val="nil"/>
                  </w:tcBorders>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黑体"/>
                      <w:color w:val="000000" w:themeColor="text1"/>
                      <w:szCs w:val="21"/>
                      <w:lang w:val="en-US" w:eastAsia="zh-CN"/>
                      <w14:textFill>
                        <w14:solidFill>
                          <w14:schemeClr w14:val="tx1"/>
                        </w14:solidFill>
                      </w14:textFill>
                    </w:rPr>
                  </w:pPr>
                  <w:r>
                    <w:rPr>
                      <w:rFonts w:hint="eastAsia" w:eastAsia="黑体"/>
                      <w:color w:val="000000" w:themeColor="text1"/>
                      <w:szCs w:val="21"/>
                      <w:lang w:val="en-US" w:eastAsia="zh-CN"/>
                      <w14:textFill>
                        <w14:solidFill>
                          <w14:schemeClr w14:val="tx1"/>
                        </w14:solidFill>
                      </w14:textFill>
                    </w:rPr>
                    <w:t>0.0082</w:t>
                  </w:r>
                </w:p>
              </w:tc>
            </w:tr>
          </w:tbl>
          <w:p>
            <w:pPr>
              <w:keepNext w:val="0"/>
              <w:keepLines w:val="0"/>
              <w:pageBreakBefore w:val="0"/>
              <w:kinsoku/>
              <w:wordWrap/>
              <w:overflowPunct/>
              <w:topLinePunct w:val="0"/>
              <w:bidi w:val="0"/>
              <w:snapToGrid/>
              <w:spacing w:line="360" w:lineRule="auto"/>
              <w:ind w:firstLine="480" w:firstLineChars="200"/>
              <w:textAlignment w:val="auto"/>
              <w:rPr>
                <w:rFonts w:hint="default" w:ascii="Times New Roman" w:hAnsi="Times New Roman" w:eastAsia="宋体"/>
                <w:color w:val="000000" w:themeColor="text1"/>
                <w:spacing w:val="-4"/>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根据上表，Q=0.</w:t>
            </w:r>
            <w:r>
              <w:rPr>
                <w:rFonts w:hint="eastAsia"/>
                <w:color w:val="000000" w:themeColor="text1"/>
                <w:sz w:val="24"/>
                <w:lang w:val="en-US" w:eastAsia="zh-CN"/>
                <w14:textFill>
                  <w14:solidFill>
                    <w14:schemeClr w14:val="tx1"/>
                  </w14:solidFill>
                </w14:textFill>
              </w:rPr>
              <w:t>0082</w:t>
            </w:r>
            <w:r>
              <w:rPr>
                <w:rFonts w:ascii="Times New Roman" w:hAnsi="Times New Roman"/>
                <w:color w:val="000000" w:themeColor="text1"/>
                <w:sz w:val="24"/>
                <w14:textFill>
                  <w14:solidFill>
                    <w14:schemeClr w14:val="tx1"/>
                  </w14:solidFill>
                </w14:textFill>
              </w:rPr>
              <w:t>＜1</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根据</w:t>
            </w:r>
            <w:r>
              <w:rPr>
                <w:rFonts w:ascii="Times New Roman" w:hAnsi="Times New Roman"/>
                <w:color w:val="000000" w:themeColor="text1"/>
                <w:sz w:val="24"/>
                <w14:textFill>
                  <w14:solidFill>
                    <w14:schemeClr w14:val="tx1"/>
                  </w14:solidFill>
                </w14:textFill>
              </w:rPr>
              <w:t>《建设项目环境风险评价技术导则》（HJ169-2018）</w:t>
            </w:r>
            <w:r>
              <w:rPr>
                <w:rFonts w:hint="eastAsia"/>
                <w:color w:val="000000" w:themeColor="text1"/>
                <w:sz w:val="24"/>
                <w:lang w:val="en-US" w:eastAsia="zh-CN"/>
                <w14:textFill>
                  <w14:solidFill>
                    <w14:schemeClr w14:val="tx1"/>
                  </w14:solidFill>
                </w14:textFill>
              </w:rPr>
              <w:t>评价工作等级划分规定，</w:t>
            </w:r>
            <w:r>
              <w:rPr>
                <w:rFonts w:ascii="Times New Roman" w:hAnsi="Times New Roman"/>
                <w:color w:val="000000" w:themeColor="text1"/>
                <w:spacing w:val="-4"/>
                <w:sz w:val="24"/>
                <w14:textFill>
                  <w14:solidFill>
                    <w14:schemeClr w14:val="tx1"/>
                  </w14:solidFill>
                </w14:textFill>
              </w:rPr>
              <w:t>该项目环境风险潜势为Ⅰ</w:t>
            </w:r>
            <w:r>
              <w:rPr>
                <w:rFonts w:hint="eastAsia"/>
                <w:color w:val="000000" w:themeColor="text1"/>
                <w:spacing w:val="-4"/>
                <w:sz w:val="24"/>
                <w:lang w:eastAsia="zh-CN"/>
                <w14:textFill>
                  <w14:solidFill>
                    <w14:schemeClr w14:val="tx1"/>
                  </w14:solidFill>
                </w14:textFill>
              </w:rPr>
              <w:t>，</w:t>
            </w:r>
            <w:r>
              <w:rPr>
                <w:rFonts w:hint="eastAsia"/>
                <w:color w:val="000000" w:themeColor="text1"/>
                <w:spacing w:val="-4"/>
                <w:sz w:val="24"/>
                <w:lang w:val="en-US" w:eastAsia="zh-CN"/>
                <w14:textFill>
                  <w14:solidFill>
                    <w14:schemeClr w14:val="tx1"/>
                  </w14:solidFill>
                </w14:textFill>
              </w:rPr>
              <w:t>评价工作等级为简单分析。</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②</w:t>
            </w:r>
            <w:r>
              <w:rPr>
                <w:rFonts w:ascii="Times New Roman" w:hAnsi="Times New Roman"/>
                <w:color w:val="000000" w:themeColor="text1"/>
                <w:sz w:val="24"/>
                <w14:textFill>
                  <w14:solidFill>
                    <w14:schemeClr w14:val="tx1"/>
                  </w14:solidFill>
                </w14:textFill>
              </w:rPr>
              <w:t>可能影响环境的途径</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本项目涉及的危险化学品为油品类物质，若遇到明火将引发火灾，火灾产生的次生环境污染主要为CO，将对人体健康产生危害。另外，若变压油发生泄漏，油品流入地表水体将对地表水产生严重污染。</w:t>
            </w:r>
          </w:p>
          <w:p>
            <w:pPr>
              <w:keepNext w:val="0"/>
              <w:keepLines w:val="0"/>
              <w:pageBreakBefore w:val="0"/>
              <w:kinsoku/>
              <w:wordWrap/>
              <w:overflowPunct/>
              <w:topLinePunct w:val="0"/>
              <w:bidi w:val="0"/>
              <w:snapToGrid/>
              <w:spacing w:line="360" w:lineRule="auto"/>
              <w:ind w:firstLine="420"/>
              <w:textAlignment w:val="auto"/>
              <w:rPr>
                <w:rFonts w:hint="default" w:ascii="Times New Roman" w:hAnsi="Times New Roman"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③环境风险分析</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a</w:t>
            </w:r>
            <w:r>
              <w:rPr>
                <w:rFonts w:ascii="Times New Roman" w:hAnsi="Times New Roman"/>
                <w:color w:val="000000" w:themeColor="text1"/>
                <w:sz w:val="24"/>
                <w14:textFill>
                  <w14:solidFill>
                    <w14:schemeClr w14:val="tx1"/>
                  </w14:solidFill>
                </w14:textFill>
              </w:rPr>
              <w:t>大气环境风险分析</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本项目涉及的危险化学品均为油品类物质，若遇到明火将引发火灾，火灾产生的燃烧产物主要为CO</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和水蒸汽，但不完全燃烧的产物中会含有</w:t>
            </w:r>
            <w:r>
              <w:rPr>
                <w:rFonts w:hint="eastAsia"/>
                <w:color w:val="000000" w:themeColor="text1"/>
                <w:sz w:val="24"/>
                <w:lang w:val="en-US" w:eastAsia="zh-CN"/>
                <w14:textFill>
                  <w14:solidFill>
                    <w14:schemeClr w14:val="tx1"/>
                  </w14:solidFill>
                </w14:textFill>
              </w:rPr>
              <w:t>CO</w:t>
            </w:r>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CO</w:t>
            </w:r>
            <w:r>
              <w:rPr>
                <w:rFonts w:hint="eastAsia"/>
                <w:color w:val="000000" w:themeColor="text1"/>
                <w:sz w:val="24"/>
                <w:vertAlign w:val="subscript"/>
                <w:lang w:val="en-US" w:eastAsia="zh-CN"/>
                <w14:textFill>
                  <w14:solidFill>
                    <w14:schemeClr w14:val="tx1"/>
                  </w14:solidFill>
                </w14:textFill>
              </w:rPr>
              <w:t>2</w:t>
            </w:r>
            <w:r>
              <w:rPr>
                <w:rFonts w:ascii="Times New Roman" w:hAnsi="Times New Roman"/>
                <w:color w:val="000000" w:themeColor="text1"/>
                <w:sz w:val="24"/>
                <w14:textFill>
                  <w14:solidFill>
                    <w14:schemeClr w14:val="tx1"/>
                  </w14:solidFill>
                </w14:textFill>
              </w:rPr>
              <w:t>等气体，同时伴随浓烟挥发至空气中，会造成大气污染，对人的健康造成危害；局部的燃烧还会进一步引发爆炸，进而扩大事故的危害。当达到一定的浓度时，会影响人的造血功能和神经系统功能。所以发生火灾时，要注意防范对人群的危害。</w:t>
            </w:r>
          </w:p>
          <w:p>
            <w:pPr>
              <w:keepNext w:val="0"/>
              <w:keepLines w:val="0"/>
              <w:pageBreakBefore w:val="0"/>
              <w:kinsoku/>
              <w:wordWrap/>
              <w:overflowPunct/>
              <w:topLinePunct w:val="0"/>
              <w:bidi w:val="0"/>
              <w:snapToGrid/>
              <w:spacing w:line="360" w:lineRule="auto"/>
              <w:ind w:firstLine="420"/>
              <w:textAlignment w:val="auto"/>
              <w:rPr>
                <w:rFonts w:hint="default" w:ascii="Times New Roman" w:hAnsi="Times New Roman"/>
                <w:color w:val="000000" w:themeColor="text1"/>
                <w:sz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本项目开关站内</w:t>
            </w:r>
            <w:r>
              <w:rPr>
                <w:rFonts w:hint="eastAsia" w:ascii="Times New Roman" w:hAnsi="Times New Roman"/>
                <w:color w:val="000000" w:themeColor="text1"/>
                <w:sz w:val="24"/>
                <w:lang w:val="en-US" w:eastAsia="zh-CN"/>
                <w14:textFill>
                  <w14:solidFill>
                    <w14:schemeClr w14:val="tx1"/>
                  </w14:solidFill>
                </w14:textFill>
              </w:rPr>
              <w:t>设</w:t>
            </w:r>
            <w:r>
              <w:rPr>
                <w:rFonts w:hint="eastAsia"/>
                <w:color w:val="000000" w:themeColor="text1"/>
                <w:sz w:val="24"/>
                <w:lang w:val="en-US" w:eastAsia="zh-CN"/>
                <w14:textFill>
                  <w14:solidFill>
                    <w14:schemeClr w14:val="tx1"/>
                  </w14:solidFill>
                </w14:textFill>
              </w:rPr>
              <w:t>消防器材，包括</w:t>
            </w:r>
            <w:r>
              <w:rPr>
                <w:rFonts w:hint="default" w:ascii="Times New Roman" w:hAnsi="Times New Roman"/>
                <w:color w:val="000000" w:themeColor="text1"/>
                <w:sz w:val="24"/>
                <w:lang w:val="en-US" w:eastAsia="zh-CN"/>
                <w14:textFill>
                  <w14:solidFill>
                    <w14:schemeClr w14:val="tx1"/>
                  </w14:solidFill>
                </w14:textFill>
              </w:rPr>
              <w:t>2</w:t>
            </w:r>
            <w:r>
              <w:rPr>
                <w:rFonts w:hint="eastAsia" w:ascii="Times New Roman" w:hAnsi="Times New Roman"/>
                <w:color w:val="000000" w:themeColor="text1"/>
                <w:sz w:val="24"/>
                <w:lang w:val="en-US" w:eastAsia="zh-CN"/>
                <w14:textFill>
                  <w14:solidFill>
                    <w14:schemeClr w14:val="tx1"/>
                  </w14:solidFill>
                </w14:textFill>
              </w:rPr>
              <w:t>具推车式干粉灭火器，</w:t>
            </w:r>
            <w:r>
              <w:rPr>
                <w:rFonts w:hint="default" w:ascii="Times New Roman" w:hAnsi="Times New Roman"/>
                <w:color w:val="000000" w:themeColor="text1"/>
                <w:sz w:val="24"/>
                <w:lang w:val="en-US" w:eastAsia="zh-CN"/>
                <w14:textFill>
                  <w14:solidFill>
                    <w14:schemeClr w14:val="tx1"/>
                  </w14:solidFill>
                </w14:textFill>
              </w:rPr>
              <w:t>1</w:t>
            </w:r>
            <w:r>
              <w:rPr>
                <w:rFonts w:hint="eastAsia" w:ascii="Times New Roman" w:hAnsi="Times New Roman"/>
                <w:color w:val="000000" w:themeColor="text1"/>
                <w:sz w:val="24"/>
                <w:lang w:val="en-US" w:eastAsia="zh-CN"/>
                <w14:textFill>
                  <w14:solidFill>
                    <w14:schemeClr w14:val="tx1"/>
                  </w14:solidFill>
                </w14:textFill>
              </w:rPr>
              <w:t>个消防砂箱</w:t>
            </w:r>
            <w:r>
              <w:rPr>
                <w:rFonts w:hint="default" w:ascii="Times New Roman" w:hAnsi="Times New Roman"/>
                <w:color w:val="000000" w:themeColor="text1"/>
                <w:sz w:val="24"/>
                <w:lang w:val="en-US" w:eastAsia="zh-CN"/>
                <w14:textFill>
                  <w14:solidFill>
                    <w14:schemeClr w14:val="tx1"/>
                  </w14:solidFill>
                </w14:textFill>
              </w:rPr>
              <w:t>(1m³)</w:t>
            </w:r>
            <w:r>
              <w:rPr>
                <w:rFonts w:hint="eastAsia" w:ascii="Times New Roman" w:hAnsi="Times New Roman"/>
                <w:color w:val="000000" w:themeColor="text1"/>
                <w:sz w:val="24"/>
                <w:lang w:val="en-US" w:eastAsia="zh-CN"/>
                <w14:textFill>
                  <w14:solidFill>
                    <w14:schemeClr w14:val="tx1"/>
                  </w14:solidFill>
                </w14:textFill>
              </w:rPr>
              <w:t>，并配置消防铲、消防斧及消防铅桶等消防工具</w:t>
            </w:r>
            <w:r>
              <w:rPr>
                <w:rFonts w:hint="eastAsia"/>
                <w:color w:val="000000" w:themeColor="text1"/>
                <w:sz w:val="24"/>
                <w:lang w:val="en-US" w:eastAsia="zh-CN"/>
                <w14:textFill>
                  <w14:solidFill>
                    <w14:schemeClr w14:val="tx1"/>
                  </w14:solidFill>
                </w14:textFill>
              </w:rPr>
              <w:t>；当发生火灾时，及时使用消防器材进行灭火，同时做好自身防护措施。</w:t>
            </w:r>
          </w:p>
          <w:p>
            <w:pPr>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b</w:t>
            </w:r>
            <w:r>
              <w:rPr>
                <w:rFonts w:ascii="Times New Roman" w:hAnsi="Times New Roman"/>
                <w:color w:val="000000" w:themeColor="text1"/>
                <w:sz w:val="24"/>
                <w14:textFill>
                  <w14:solidFill>
                    <w14:schemeClr w14:val="tx1"/>
                  </w14:solidFill>
                </w14:textFill>
              </w:rPr>
              <w:t>地表水环境风险分析</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地表水环境风险</w:t>
            </w:r>
            <w:r>
              <w:rPr>
                <w:rFonts w:ascii="Times New Roman" w:hAnsi="Times New Roman"/>
                <w:color w:val="000000" w:themeColor="text1"/>
                <w:sz w:val="24"/>
                <w14:textFill>
                  <w14:solidFill>
                    <w14:schemeClr w14:val="tx1"/>
                  </w14:solidFill>
                </w14:textFill>
              </w:rPr>
              <w:t>为变压油发生泄漏，油品泄漏对地表水产生污染。</w:t>
            </w:r>
            <w:r>
              <w:rPr>
                <w:rFonts w:hint="eastAsia"/>
                <w:color w:val="000000" w:themeColor="text1"/>
                <w:sz w:val="24"/>
                <w:lang w:val="en-US" w:eastAsia="zh-CN"/>
                <w14:textFill>
                  <w14:solidFill>
                    <w14:schemeClr w14:val="tx1"/>
                  </w14:solidFill>
                </w14:textFill>
              </w:rPr>
              <w:t>本项目</w:t>
            </w:r>
            <w:r>
              <w:rPr>
                <w:rFonts w:ascii="Times New Roman" w:hAnsi="Times New Roman"/>
                <w:color w:val="000000" w:themeColor="text1"/>
                <w:sz w:val="24"/>
                <w14:textFill>
                  <w14:solidFill>
                    <w14:schemeClr w14:val="tx1"/>
                  </w14:solidFill>
                </w14:textFill>
              </w:rPr>
              <w:t>35kV箱式变压器的</w:t>
            </w:r>
            <w:r>
              <w:rPr>
                <w:rFonts w:hint="eastAsia"/>
                <w:color w:val="FF0000"/>
                <w:sz w:val="24"/>
                <w:lang w:val="en-US" w:eastAsia="zh-CN"/>
              </w:rPr>
              <w:t>下方</w:t>
            </w:r>
            <w:r>
              <w:rPr>
                <w:rFonts w:ascii="Times New Roman" w:hAnsi="Times New Roman"/>
                <w:color w:val="000000" w:themeColor="text1"/>
                <w:sz w:val="24"/>
                <w14:textFill>
                  <w14:solidFill>
                    <w14:schemeClr w14:val="tx1"/>
                  </w14:solidFill>
                </w14:textFill>
              </w:rPr>
              <w:t>均设置事故油池</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8个，容积为3m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，一旦发生渗油事故后</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lang w:val="zh-CN"/>
                <w14:textFill>
                  <w14:solidFill>
                    <w14:schemeClr w14:val="tx1"/>
                  </w14:solidFill>
                </w14:textFill>
              </w:rPr>
              <w:t>废油由软管自箱变油箱引至</w:t>
            </w:r>
            <w:r>
              <w:rPr>
                <w:rFonts w:hint="eastAsia" w:ascii="Times New Roman" w:hAnsi="Times New Roman"/>
                <w:color w:val="000000" w:themeColor="text1"/>
                <w:sz w:val="24"/>
                <w:lang w:val="zh-CN"/>
                <w14:textFill>
                  <w14:solidFill>
                    <w14:schemeClr w14:val="tx1"/>
                  </w14:solidFill>
                </w14:textFill>
              </w:rPr>
              <w:t>下方</w:t>
            </w:r>
            <w:r>
              <w:rPr>
                <w:rFonts w:ascii="Times New Roman" w:hAnsi="Times New Roman"/>
                <w:color w:val="000000" w:themeColor="text1"/>
                <w:sz w:val="24"/>
                <w:lang w:val="zh-CN"/>
                <w14:textFill>
                  <w14:solidFill>
                    <w14:schemeClr w14:val="tx1"/>
                  </w14:solidFill>
                </w14:textFill>
              </w:rPr>
              <w:t>事故油池收集</w:t>
            </w:r>
            <w:r>
              <w:rPr>
                <w:rFonts w:ascii="Times New Roman" w:hAnsi="Times New Roman"/>
                <w:color w:val="000000" w:themeColor="text1"/>
                <w:sz w:val="24"/>
                <w14:textFill>
                  <w14:solidFill>
                    <w14:schemeClr w14:val="tx1"/>
                  </w14:solidFill>
                </w14:textFill>
              </w:rPr>
              <w:t>，事故油池底部铺设1m粘土层压实平整，上部</w:t>
            </w:r>
            <w:r>
              <w:rPr>
                <w:rFonts w:hint="eastAsia" w:ascii="Times New Roman" w:hAnsi="Times New Roman"/>
                <w:color w:val="000000" w:themeColor="text1"/>
                <w:sz w:val="24"/>
                <w14:textFill>
                  <w14:solidFill>
                    <w14:schemeClr w14:val="tx1"/>
                  </w14:solidFill>
                </w14:textFill>
              </w:rPr>
              <w:t>采用</w:t>
            </w:r>
            <w:r>
              <w:rPr>
                <w:rFonts w:ascii="Times New Roman" w:hAnsi="Times New Roman"/>
                <w:color w:val="000000" w:themeColor="text1"/>
                <w:sz w:val="24"/>
                <w14:textFill>
                  <w14:solidFill>
                    <w14:schemeClr w14:val="tx1"/>
                  </w14:solidFill>
                </w14:textFill>
              </w:rPr>
              <w:t>混凝土</w:t>
            </w:r>
            <w:r>
              <w:rPr>
                <w:rFonts w:hint="eastAsia" w:ascii="Times New Roman" w:hAnsi="Times New Roman"/>
                <w:color w:val="000000" w:themeColor="text1"/>
                <w:sz w:val="24"/>
                <w14:textFill>
                  <w14:solidFill>
                    <w14:schemeClr w14:val="tx1"/>
                  </w14:solidFill>
                </w14:textFill>
              </w:rPr>
              <w:t>进行防渗处理</w:t>
            </w:r>
            <w:r>
              <w:rPr>
                <w:rFonts w:ascii="Times New Roman" w:hAnsi="Times New Roman"/>
                <w:color w:val="000000" w:themeColor="text1"/>
                <w:sz w:val="24"/>
                <w14:textFill>
                  <w14:solidFill>
                    <w14:schemeClr w14:val="tx1"/>
                  </w14:solidFill>
                </w14:textFill>
              </w:rPr>
              <w:t>。</w:t>
            </w:r>
          </w:p>
          <w:p>
            <w:pPr>
              <w:keepNext w:val="0"/>
              <w:keepLines w:val="0"/>
              <w:pageBreakBefore w:val="0"/>
              <w:kinsoku/>
              <w:wordWrap/>
              <w:overflowPunct/>
              <w:topLinePunct w:val="0"/>
              <w:bidi w:val="0"/>
              <w:snapToGrid/>
              <w:spacing w:line="360" w:lineRule="auto"/>
              <w:ind w:firstLine="420"/>
              <w:textAlignment w:val="auto"/>
              <w:rPr>
                <w:rFonts w:hint="eastAsia"/>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c</w:t>
            </w:r>
            <w:r>
              <w:rPr>
                <w:rFonts w:ascii="Times New Roman" w:hAnsi="Times New Roman"/>
                <w:color w:val="000000" w:themeColor="text1"/>
                <w:sz w:val="24"/>
                <w14:textFill>
                  <w14:solidFill>
                    <w14:schemeClr w14:val="tx1"/>
                  </w14:solidFill>
                </w14:textFill>
              </w:rPr>
              <w:t>地下水环境风险分析</w:t>
            </w:r>
          </w:p>
          <w:p>
            <w:pPr>
              <w:keepNext w:val="0"/>
              <w:keepLines w:val="0"/>
              <w:pageBreakBefore w:val="0"/>
              <w:kinsoku/>
              <w:wordWrap/>
              <w:overflowPunct/>
              <w:topLinePunct w:val="0"/>
              <w:bidi w:val="0"/>
              <w:snapToGrid/>
              <w:spacing w:line="360" w:lineRule="auto"/>
              <w:ind w:firstLine="420"/>
              <w:textAlignment w:val="auto"/>
              <w:rPr>
                <w:rFonts w:hint="eastAsia"/>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地下水环境风险</w:t>
            </w:r>
            <w:r>
              <w:rPr>
                <w:rFonts w:hint="eastAsia"/>
                <w:color w:val="000000" w:themeColor="text1"/>
                <w:sz w:val="24"/>
                <w:lang w:val="en-US" w:eastAsia="zh-CN"/>
                <w14:textFill>
                  <w14:solidFill>
                    <w14:schemeClr w14:val="tx1"/>
                  </w14:solidFill>
                </w14:textFill>
              </w:rPr>
              <w:t>为事故油池废油、</w:t>
            </w:r>
            <w:r>
              <w:rPr>
                <w:rFonts w:ascii="Times New Roman" w:hAnsi="Times New Roman"/>
                <w:color w:val="000000" w:themeColor="text1"/>
                <w:sz w:val="24"/>
                <w14:textFill>
                  <w14:solidFill>
                    <w14:schemeClr w14:val="tx1"/>
                  </w14:solidFill>
                </w14:textFill>
              </w:rPr>
              <w:t>危废暂存间中</w:t>
            </w:r>
            <w:r>
              <w:rPr>
                <w:rFonts w:hint="eastAsia" w:ascii="Times New Roman" w:hAnsi="Times New Roman"/>
                <w:color w:val="000000" w:themeColor="text1"/>
                <w:sz w:val="24"/>
                <w14:textFill>
                  <w14:solidFill>
                    <w14:schemeClr w14:val="tx1"/>
                  </w14:solidFill>
                </w14:textFill>
              </w:rPr>
              <w:t>废油及含油危废</w:t>
            </w:r>
            <w:r>
              <w:rPr>
                <w:rFonts w:ascii="Times New Roman" w:hAnsi="Times New Roman"/>
                <w:color w:val="000000" w:themeColor="text1"/>
                <w:sz w:val="24"/>
                <w14:textFill>
                  <w14:solidFill>
                    <w14:schemeClr w14:val="tx1"/>
                  </w14:solidFill>
                </w14:textFill>
              </w:rPr>
              <w:t>泄漏</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同过土壤污染地下水质，影响地下水环境</w:t>
            </w:r>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本项目设置8个箱式变压器的事故油池（每个容积3m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），事故池采取严格的防渗措施，池体底部和四周均进行重点防渗，防渗要求为等效黏土防渗层Mb≥6m，K≤1</w:t>
            </w:r>
            <w:r>
              <w:rPr>
                <w:rFonts w:hint="default" w:ascii="Arial" w:hAnsi="Arial" w:cs="Arial"/>
                <w:color w:val="000000" w:themeColor="text1"/>
                <w:sz w:val="24"/>
                <w:lang w:val="en-US"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10</w:t>
            </w:r>
            <w:r>
              <w:rPr>
                <w:rFonts w:hint="eastAsia"/>
                <w:color w:val="000000" w:themeColor="text1"/>
                <w:sz w:val="24"/>
                <w:vertAlign w:val="superscript"/>
                <w:lang w:val="en-US" w:eastAsia="zh-CN"/>
                <w14:textFill>
                  <w14:solidFill>
                    <w14:schemeClr w14:val="tx1"/>
                  </w14:solidFill>
                </w14:textFill>
              </w:rPr>
              <w:t>-7</w:t>
            </w:r>
            <w:r>
              <w:rPr>
                <w:rFonts w:hint="eastAsia"/>
                <w:color w:val="000000" w:themeColor="text1"/>
                <w:sz w:val="24"/>
                <w:lang w:val="en-US" w:eastAsia="zh-CN"/>
                <w14:textFill>
                  <w14:solidFill>
                    <w14:schemeClr w14:val="tx1"/>
                  </w14:solidFill>
                </w14:textFill>
              </w:rPr>
              <w:t>cm/s；危险废物暂存间采用耐腐蚀水泥硬化，并在混凝土表面采用环氧树脂涂料涂抹3次进行防渗，各类危险废物应使用专用容器盛装且分区存放，废矿物油等液体废物容器底部设置防渗托盘，避免液态危险废物外漏等措施。</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同</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时危险废物暂存间应严格按照《危险废物贮存污染控制标准》（GB18597-2001）（2013年修订）及其修改单及《危险废物收集、贮存、运输技术规范》（HJ2025-2012）等相关要求对其进行收集、贮存、转移及运输。进行严格防渗、防雨、防晒处理，采用专人管理的方式。若非正常情况下废油在危废暂存间发生泄漏，管理人员应立即对其进行清理，使用砂石等对其覆盖，并对其他危险废物进行及时转移及处置，事故结束后，将被污染的清理废物作为危险废物，委托有资质单位处理。综上所述，物料泄漏对地下水环境影响较小。</w:t>
            </w:r>
          </w:p>
          <w:p>
            <w:pPr>
              <w:keepNext w:val="0"/>
              <w:keepLines w:val="0"/>
              <w:pageBreakBefore w:val="0"/>
              <w:kinsoku/>
              <w:wordWrap/>
              <w:overflowPunct/>
              <w:topLinePunct w:val="0"/>
              <w:bidi w:val="0"/>
              <w:snapToGrid/>
              <w:spacing w:line="360" w:lineRule="auto"/>
              <w:ind w:firstLine="42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综上所述，采取如上提出的风险防范措施后，油品泄漏和爆炸对环境空气、地表水和地下水污染的风险可控；且本项目周边无地表水体，无地下水环境敏感目标，因此，油类物质的环境风险较小。</w:t>
            </w:r>
          </w:p>
          <w:p>
            <w:pPr>
              <w:keepNext w:val="0"/>
              <w:keepLines w:val="0"/>
              <w:pageBreakBefore w:val="0"/>
              <w:kinsoku/>
              <w:wordWrap/>
              <w:overflowPunct/>
              <w:topLinePunct w:val="0"/>
              <w:bidi w:val="0"/>
              <w:snapToGrid/>
              <w:spacing w:line="360" w:lineRule="auto"/>
              <w:ind w:firstLine="480" w:firstLineChars="200"/>
              <w:jc w:val="left"/>
              <w:textAlignment w:val="auto"/>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④</w:t>
            </w:r>
            <w:r>
              <w:rPr>
                <w:rFonts w:ascii="Times New Roman" w:hAnsi="Times New Roman"/>
                <w:color w:val="000000" w:themeColor="text1"/>
                <w:sz w:val="24"/>
                <w14:textFill>
                  <w14:solidFill>
                    <w14:schemeClr w14:val="tx1"/>
                  </w14:solidFill>
                </w14:textFill>
              </w:rPr>
              <w:t>环境风险应急要求</w:t>
            </w:r>
          </w:p>
          <w:p>
            <w:pPr>
              <w:keepNext w:val="0"/>
              <w:keepLines w:val="0"/>
              <w:pageBreakBefore w:val="0"/>
              <w:kinsoku/>
              <w:wordWrap/>
              <w:overflowPunct/>
              <w:topLinePunct w:val="0"/>
              <w:bidi w:val="0"/>
              <w:snapToGrid/>
              <w:spacing w:line="360" w:lineRule="auto"/>
              <w:ind w:firstLine="420"/>
              <w:textAlignment w:val="auto"/>
              <w:rPr>
                <w:rFonts w:hint="default" w:ascii="Times New Roman" w:hAnsi="Times New Roman"/>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本次环评提出以下风险应急要求：</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a</w:t>
            </w:r>
            <w:r>
              <w:rPr>
                <w:rFonts w:ascii="Times New Roman" w:hAnsi="Times New Roman"/>
                <w:color w:val="000000" w:themeColor="text1"/>
                <w:sz w:val="24"/>
                <w14:textFill>
                  <w14:solidFill>
                    <w14:schemeClr w14:val="tx1"/>
                  </w14:solidFill>
                </w14:textFill>
              </w:rPr>
              <w:t>制定应急操作规程，如在规程中应说明事故时的操作步骤，规定抢修进度，事故处理措施，说明与操作人员有关的安全问题。</w:t>
            </w:r>
          </w:p>
          <w:p>
            <w:pPr>
              <w:keepNext w:val="0"/>
              <w:keepLines w:val="0"/>
              <w:pageBreakBefore w:val="0"/>
              <w:kinsoku/>
              <w:wordWrap/>
              <w:overflowPunct/>
              <w:topLinePunct w:val="0"/>
              <w:bidi w:val="0"/>
              <w:snapToGrid/>
              <w:spacing w:line="360" w:lineRule="auto"/>
              <w:ind w:firstLine="420"/>
              <w:textAlignment w:val="auto"/>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b</w:t>
            </w:r>
            <w:r>
              <w:rPr>
                <w:rFonts w:ascii="Times New Roman" w:hAnsi="Times New Roman"/>
                <w:color w:val="000000" w:themeColor="text1"/>
                <w:sz w:val="24"/>
                <w14:textFill>
                  <w14:solidFill>
                    <w14:schemeClr w14:val="tx1"/>
                  </w14:solidFill>
                </w14:textFill>
              </w:rPr>
              <w:t>定期检查库区各种贮存设备，杜绝事故隐患，降低事故发生概率。按计划检查和更换油品的输送储存设备，并有专门档案记录，以保证设备在寿命期限内不发生事故</w:t>
            </w:r>
            <w:r>
              <w:rPr>
                <w:rFonts w:hint="eastAsia"/>
                <w:color w:val="000000" w:themeColor="text1"/>
                <w:sz w:val="24"/>
                <w:lang w:eastAsia="zh-CN"/>
                <w14:textFill>
                  <w14:solidFill>
                    <w14:schemeClr w14:val="tx1"/>
                  </w14:solidFill>
                </w14:textFill>
              </w:rPr>
              <w:t>。</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c</w:t>
            </w:r>
            <w:r>
              <w:rPr>
                <w:rFonts w:ascii="Times New Roman" w:hAnsi="Times New Roman"/>
                <w:color w:val="000000" w:themeColor="text1"/>
                <w:sz w:val="24"/>
                <w14:textFill>
                  <w14:solidFill>
                    <w14:schemeClr w14:val="tx1"/>
                  </w14:solidFill>
                </w14:textFill>
              </w:rPr>
              <w:t>配备专业知识的技术人员，工作人员必须配备可靠的个人安全防护用品。</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d</w:t>
            </w:r>
            <w:r>
              <w:rPr>
                <w:rFonts w:ascii="Times New Roman" w:hAnsi="Times New Roman"/>
                <w:color w:val="000000" w:themeColor="text1"/>
                <w:sz w:val="24"/>
                <w14:textFill>
                  <w14:solidFill>
                    <w14:schemeClr w14:val="tx1"/>
                  </w14:solidFill>
                </w14:textFill>
              </w:rPr>
              <w:t>严格按照相关防火防爆设计要求和危险物质存贮设计要求进行施工，并配置相关防护工程设施。</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e</w:t>
            </w:r>
            <w:r>
              <w:rPr>
                <w:rFonts w:ascii="Times New Roman" w:hAnsi="Times New Roman"/>
                <w:color w:val="000000" w:themeColor="text1"/>
                <w:sz w:val="24"/>
                <w14:textFill>
                  <w14:solidFill>
                    <w14:schemeClr w14:val="tx1"/>
                  </w14:solidFill>
                </w14:textFill>
              </w:rPr>
              <w:t>对油品物质应远离明火</w:t>
            </w:r>
            <w:r>
              <w:rPr>
                <w:rFonts w:hint="eastAsia" w:ascii="Times New Roman" w:hAnsi="Times New Roman"/>
                <w:color w:val="000000" w:themeColor="text1"/>
                <w:sz w:val="24"/>
                <w14:textFill>
                  <w14:solidFill>
                    <w14:schemeClr w14:val="tx1"/>
                  </w14:solidFill>
                </w14:textFill>
              </w:rPr>
              <w:t>和</w:t>
            </w:r>
            <w:r>
              <w:rPr>
                <w:rFonts w:ascii="Times New Roman" w:hAnsi="Times New Roman"/>
                <w:color w:val="000000" w:themeColor="text1"/>
                <w:sz w:val="24"/>
                <w14:textFill>
                  <w14:solidFill>
                    <w14:schemeClr w14:val="tx1"/>
                  </w14:solidFill>
                </w14:textFill>
              </w:rPr>
              <w:t>热源，应具备阴凉和通风条件；具有防泄监控和泄漏物收集后的安全处置措施，一旦发生火灾和爆炸，要尽快使用已有消防设施予以补救，并疏散周围非急救人员，远离事故区。</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b/>
                <w:bCs/>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7</w:t>
            </w:r>
            <w:r>
              <w:rPr>
                <w:rFonts w:hint="eastAsia"/>
                <w:b/>
                <w:bCs/>
                <w:color w:val="000000" w:themeColor="text1"/>
                <w:sz w:val="24"/>
                <w:lang w:eastAsia="zh-CN"/>
                <w14:textFill>
                  <w14:solidFill>
                    <w14:schemeClr w14:val="tx1"/>
                  </w14:solidFill>
                </w14:textFill>
              </w:rPr>
              <w:t>）</w:t>
            </w:r>
            <w:r>
              <w:rPr>
                <w:rFonts w:ascii="Times New Roman" w:hAnsi="Times New Roman"/>
                <w:b/>
                <w:bCs/>
                <w:color w:val="000000" w:themeColor="text1"/>
                <w:sz w:val="24"/>
                <w14:textFill>
                  <w14:solidFill>
                    <w14:schemeClr w14:val="tx1"/>
                  </w14:solidFill>
                </w14:textFill>
              </w:rPr>
              <w:t>光影影响</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地球绕太阳公转，太阳光入射方向和地面之间的夹角称为太阳高度角，只要太阳高度角小于90°，暴露在阳光下地面上的任何物体都会产生影响。风机组不停转动的叶片，在阳光入射方向下，投射到居民住宅的玻璃窗上，即可产生闪烁的光影，通常称为光影影响。</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光影影响与太阳高度角、太阳方位角和风机高度有关。日升日落，同一地点一天内太阳高度角是不断变化的，太阳高度角越小，风机的影子越长。一年中冬至日太阳高度角最小，影子最长。</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①</w:t>
            </w:r>
            <w:r>
              <w:rPr>
                <w:rFonts w:ascii="Times New Roman" w:hAnsi="Times New Roman"/>
                <w:color w:val="000000" w:themeColor="text1"/>
                <w:sz w:val="24"/>
                <w14:textFill>
                  <w14:solidFill>
                    <w14:schemeClr w14:val="tx1"/>
                  </w14:solidFill>
                </w14:textFill>
              </w:rPr>
              <w:t>项目所在地太阳高度角和方位角</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从地面某一观测点指向太阳的向量S与地平面的夹角定义为太阳高度角，S在平面上的投影线与南北方向线之间的夹角为太阳方位角，用γ表示，并规定正北方为0°，向西为正值，向东为负值，其变化范围为±180°。由于冬至日太阳高度角最小，因此选择冬至日进行光影范围计算。</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sz w:val="24"/>
                <w14:textFill>
                  <w14:solidFill>
                    <w14:schemeClr w14:val="tx1"/>
                  </w14:solidFill>
                </w14:textFill>
              </w:rPr>
              <w:t>冬至日逐时太阳高度角计算公式如下：</w:t>
            </w:r>
          </w:p>
          <w:p>
            <w:pPr>
              <w:keepNext w:val="0"/>
              <w:keepLines w:val="0"/>
              <w:pageBreakBefore w:val="0"/>
              <w:widowControl/>
              <w:kinsoku/>
              <w:wordWrap/>
              <w:overflowPunct/>
              <w:topLinePunct w:val="0"/>
              <w:bidi w:val="0"/>
              <w:snapToGrid/>
              <w:jc w:val="center"/>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kern w:val="0"/>
                <w:sz w:val="24"/>
                <w:szCs w:val="24"/>
                <w:lang w:bidi="ar"/>
                <w14:textFill>
                  <w14:solidFill>
                    <w14:schemeClr w14:val="tx1"/>
                  </w14:solidFill>
                </w14:textFill>
              </w:rPr>
              <w:t>ho=arcsin（sinφ·sinσ+cosφ·cosσ·cosτ）</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式中：ho—太阳高度角，rad；</w:t>
            </w:r>
          </w:p>
          <w:p>
            <w:pPr>
              <w:keepNext w:val="0"/>
              <w:keepLines w:val="0"/>
              <w:pageBreakBefore w:val="0"/>
              <w:kinsoku/>
              <w:wordWrap/>
              <w:overflowPunct/>
              <w:topLinePunct w:val="0"/>
              <w:bidi w:val="0"/>
              <w:snapToGrid/>
              <w:spacing w:line="360" w:lineRule="auto"/>
              <w:ind w:firstLine="1200" w:firstLineChars="50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φ—当地纬度，deg，纬度为：</w:t>
            </w:r>
            <w:r>
              <w:rPr>
                <w:rFonts w:hint="eastAsia"/>
                <w:color w:val="000000" w:themeColor="text1"/>
                <w:sz w:val="24"/>
                <w:lang w:val="en-US" w:eastAsia="zh-CN"/>
                <w14:textFill>
                  <w14:solidFill>
                    <w14:schemeClr w14:val="tx1"/>
                  </w14:solidFill>
                </w14:textFill>
              </w:rPr>
              <w:t>35.27°</w:t>
            </w:r>
            <w:r>
              <w:rPr>
                <w:rFonts w:ascii="Times New Roman" w:hAnsi="Times New Roman"/>
                <w:color w:val="000000" w:themeColor="text1"/>
                <w:sz w:val="24"/>
                <w14:textFill>
                  <w14:solidFill>
                    <w14:schemeClr w14:val="tx1"/>
                  </w14:solidFill>
                </w14:textFill>
              </w:rPr>
              <w:t>；</w:t>
            </w:r>
          </w:p>
          <w:p>
            <w:pPr>
              <w:keepNext w:val="0"/>
              <w:keepLines w:val="0"/>
              <w:pageBreakBefore w:val="0"/>
              <w:kinsoku/>
              <w:wordWrap/>
              <w:overflowPunct/>
              <w:topLinePunct w:val="0"/>
              <w:bidi w:val="0"/>
              <w:snapToGrid/>
              <w:spacing w:line="360" w:lineRule="auto"/>
              <w:ind w:firstLine="1200" w:firstLineChars="50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σ—太阳赤纬角，冬至日太阳赤纬角为-23.26°；</w:t>
            </w:r>
          </w:p>
          <w:p>
            <w:pPr>
              <w:keepNext w:val="0"/>
              <w:keepLines w:val="0"/>
              <w:pageBreakBefore w:val="0"/>
              <w:kinsoku/>
              <w:wordWrap/>
              <w:overflowPunct/>
              <w:topLinePunct w:val="0"/>
              <w:bidi w:val="0"/>
              <w:snapToGrid/>
              <w:spacing w:line="360" w:lineRule="auto"/>
              <w:ind w:firstLine="1200" w:firstLineChars="50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τ—太阳时角，在正午时τ=0，每隔一小时增加15°，上午为正，下午为负。</w:t>
            </w:r>
          </w:p>
          <w:p>
            <w:pPr>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太阳方位角计算公式如下：</w:t>
            </w:r>
          </w:p>
          <w:p>
            <w:pPr>
              <w:keepNext w:val="0"/>
              <w:keepLines w:val="0"/>
              <w:pageBreakBefore w:val="0"/>
              <w:kinsoku/>
              <w:wordWrap/>
              <w:overflowPunct/>
              <w:topLinePunct w:val="0"/>
              <w:bidi w:val="0"/>
              <w:snapToGrid/>
              <w:spacing w:line="360" w:lineRule="auto"/>
              <w:ind w:firstLine="420"/>
              <w:jc w:val="center"/>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γ=arcsin（cosσ·sinτ/cosho）</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式中：γ—太阳方位角，rad；其他参数含义同前。</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②</w:t>
            </w:r>
            <w:r>
              <w:rPr>
                <w:rFonts w:ascii="Times New Roman" w:hAnsi="Times New Roman"/>
                <w:color w:val="000000" w:themeColor="text1"/>
                <w:sz w:val="24"/>
                <w14:textFill>
                  <w14:solidFill>
                    <w14:schemeClr w14:val="tx1"/>
                  </w14:solidFill>
                </w14:textFill>
              </w:rPr>
              <w:t>光影长度计算方法</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风机光影长度计算公式如下：</w:t>
            </w:r>
          </w:p>
          <w:p>
            <w:pPr>
              <w:keepNext w:val="0"/>
              <w:keepLines w:val="0"/>
              <w:pageBreakBefore w:val="0"/>
              <w:kinsoku/>
              <w:wordWrap/>
              <w:overflowPunct/>
              <w:topLinePunct w:val="0"/>
              <w:bidi w:val="0"/>
              <w:adjustRightInd w:val="0"/>
              <w:snapToGrid/>
              <w:spacing w:line="360" w:lineRule="auto"/>
              <w:jc w:val="center"/>
              <w:textAlignment w:val="auto"/>
              <w:rPr>
                <w:rFonts w:ascii="Times New Roman" w:hAnsi="Times New Roman"/>
                <w:color w:val="000000" w:themeColor="text1"/>
                <w:sz w:val="24"/>
                <w:vertAlign w:val="subscript"/>
                <w14:textFill>
                  <w14:solidFill>
                    <w14:schemeClr w14:val="tx1"/>
                  </w14:solidFill>
                </w14:textFill>
              </w:rPr>
            </w:pPr>
            <w:r>
              <w:rPr>
                <w:rFonts w:ascii="Times New Roman" w:hAnsi="Times New Roman"/>
                <w:color w:val="000000" w:themeColor="text1"/>
                <w:sz w:val="24"/>
                <w14:textFill>
                  <w14:solidFill>
                    <w14:schemeClr w14:val="tx1"/>
                  </w14:solidFill>
                </w14:textFill>
              </w:rPr>
              <w:t>L=D/tgh</w:t>
            </w:r>
            <w:r>
              <w:rPr>
                <w:rFonts w:ascii="Times New Roman" w:hAnsi="Times New Roman"/>
                <w:color w:val="000000" w:themeColor="text1"/>
                <w:sz w:val="24"/>
                <w:vertAlign w:val="subscript"/>
                <w14:textFill>
                  <w14:solidFill>
                    <w14:schemeClr w14:val="tx1"/>
                  </w14:solidFill>
                </w14:textFill>
              </w:rPr>
              <w:t>0</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其中：L</w:t>
            </w:r>
            <w:r>
              <w:rPr>
                <w:rFonts w:ascii="Times New Roman" w:hAnsi="Times New Roman"/>
                <w:color w:val="000000" w:themeColor="text1"/>
                <w:sz w:val="24"/>
                <w14:textFill>
                  <w14:solidFill>
                    <w14:schemeClr w14:val="tx1"/>
                  </w14:solidFill>
                </w14:textFill>
              </w:rPr>
              <w:sym w:font="Times New Roman" w:char="2014"/>
            </w:r>
            <w:r>
              <w:rPr>
                <w:rFonts w:ascii="Times New Roman" w:hAnsi="Times New Roman"/>
                <w:color w:val="000000" w:themeColor="text1"/>
                <w:sz w:val="24"/>
                <w14:textFill>
                  <w14:solidFill>
                    <w14:schemeClr w14:val="tx1"/>
                  </w14:solidFill>
                </w14:textFill>
              </w:rPr>
              <w:sym w:font="Times New Roman" w:char="2014"/>
            </w:r>
            <w:r>
              <w:rPr>
                <w:rFonts w:ascii="Times New Roman" w:hAnsi="Times New Roman"/>
                <w:color w:val="000000" w:themeColor="text1"/>
                <w:sz w:val="24"/>
                <w14:textFill>
                  <w14:solidFill>
                    <w14:schemeClr w14:val="tx1"/>
                  </w14:solidFill>
                </w14:textFill>
              </w:rPr>
              <w:t>风机光影长度m；</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D</w:t>
            </w:r>
            <w:r>
              <w:rPr>
                <w:rFonts w:ascii="Times New Roman" w:hAnsi="Times New Roman"/>
                <w:color w:val="000000" w:themeColor="text1"/>
                <w:sz w:val="24"/>
                <w14:textFill>
                  <w14:solidFill>
                    <w14:schemeClr w14:val="tx1"/>
                  </w14:solidFill>
                </w14:textFill>
              </w:rPr>
              <w:sym w:font="Times New Roman" w:char="2014"/>
            </w:r>
            <w:r>
              <w:rPr>
                <w:rFonts w:ascii="Times New Roman" w:hAnsi="Times New Roman"/>
                <w:color w:val="000000" w:themeColor="text1"/>
                <w:sz w:val="24"/>
                <w14:textFill>
                  <w14:solidFill>
                    <w14:schemeClr w14:val="tx1"/>
                  </w14:solidFill>
                </w14:textFill>
              </w:rPr>
              <w:sym w:font="Times New Roman" w:char="2014"/>
            </w:r>
            <w:r>
              <w:rPr>
                <w:rFonts w:ascii="Times New Roman" w:hAnsi="Times New Roman"/>
                <w:color w:val="000000" w:themeColor="text1"/>
                <w:sz w:val="24"/>
                <w14:textFill>
                  <w14:solidFill>
                    <w14:schemeClr w14:val="tx1"/>
                  </w14:solidFill>
                </w14:textFill>
              </w:rPr>
              <w:t>风机高度m</w:t>
            </w:r>
            <w:r>
              <w:rPr>
                <w:rFonts w:hint="eastAsia" w:ascii="Times New Roman" w:hAnsi="Times New Roman"/>
                <w:color w:val="000000" w:themeColor="text1"/>
                <w:sz w:val="24"/>
                <w14:textFill>
                  <w14:solidFill>
                    <w14:schemeClr w14:val="tx1"/>
                  </w14:solidFill>
                </w14:textFill>
              </w:rPr>
              <w:t>（D=风机轮毂中心距地面高度+风机半径=</w:t>
            </w:r>
            <w:r>
              <w:rPr>
                <w:rFonts w:hint="eastAsia"/>
                <w:color w:val="000000" w:themeColor="text1"/>
                <w:sz w:val="24"/>
                <w:lang w:val="en-US" w:eastAsia="zh-CN"/>
                <w14:textFill>
                  <w14:solidFill>
                    <w14:schemeClr w14:val="tx1"/>
                  </w14:solidFill>
                </w14:textFill>
              </w:rPr>
              <w:t>213.5</w:t>
            </w:r>
            <w:r>
              <w:rPr>
                <w:rFonts w:hint="eastAsia" w:ascii="Times New Roman" w:hAnsi="Times New Roman"/>
                <w:color w:val="000000" w:themeColor="text1"/>
                <w:sz w:val="24"/>
                <w14:textFill>
                  <w14:solidFill>
                    <w14:schemeClr w14:val="tx1"/>
                  </w14:solidFill>
                </w14:textFill>
              </w:rPr>
              <w:t>m）</w:t>
            </w:r>
            <w:r>
              <w:rPr>
                <w:rFonts w:ascii="Times New Roman" w:hAnsi="Times New Roman"/>
                <w:color w:val="000000" w:themeColor="text1"/>
                <w:sz w:val="24"/>
                <w14:textFill>
                  <w14:solidFill>
                    <w14:schemeClr w14:val="tx1"/>
                  </w14:solidFill>
                </w14:textFill>
              </w:rPr>
              <w:t>；</w:t>
            </w:r>
          </w:p>
          <w:p>
            <w:pPr>
              <w:keepNext w:val="0"/>
              <w:keepLines w:val="0"/>
              <w:pageBreakBefore w:val="0"/>
              <w:kinsoku/>
              <w:wordWrap/>
              <w:overflowPunct/>
              <w:topLinePunct w:val="0"/>
              <w:bidi w:val="0"/>
              <w:snapToGrid/>
              <w:spacing w:line="360" w:lineRule="auto"/>
              <w:ind w:firstLine="420"/>
              <w:textAlignment w:val="auto"/>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③</w:t>
            </w:r>
            <w:r>
              <w:rPr>
                <w:rFonts w:ascii="Times New Roman" w:hAnsi="Times New Roman"/>
                <w:color w:val="000000" w:themeColor="text1"/>
                <w:sz w:val="24"/>
                <w14:textFill>
                  <w14:solidFill>
                    <w14:schemeClr w14:val="tx1"/>
                  </w14:solidFill>
                </w14:textFill>
              </w:rPr>
              <w:t>光影影响范围计算结果</w:t>
            </w:r>
          </w:p>
          <w:p>
            <w:pPr>
              <w:keepNext w:val="0"/>
              <w:keepLines w:val="0"/>
              <w:pageBreakBefore w:val="0"/>
              <w:kinsoku/>
              <w:wordWrap/>
              <w:overflowPunct/>
              <w:topLinePunct w:val="0"/>
              <w:bidi w:val="0"/>
              <w:snapToGrid/>
              <w:spacing w:line="360" w:lineRule="auto"/>
              <w:ind w:firstLine="480" w:firstLineChars="200"/>
              <w:textAlignment w:val="auto"/>
              <w:rPr>
                <w:rFonts w:hint="default" w:ascii="Times New Roman" w:hAnsi="Times New Roman" w:eastAsia="宋体"/>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本项目</w:t>
            </w:r>
            <w:r>
              <w:rPr>
                <w:rFonts w:ascii="Times New Roman" w:hAnsi="Times New Roman" w:eastAsia="Times New Roman"/>
                <w:color w:val="000000" w:themeColor="text1"/>
                <w:sz w:val="24"/>
                <w14:textFill>
                  <w14:solidFill>
                    <w14:schemeClr w14:val="tx1"/>
                  </w14:solidFill>
                </w14:textFill>
              </w:rPr>
              <w:t>风电场</w:t>
            </w:r>
            <w:r>
              <w:rPr>
                <w:rFonts w:ascii="Times New Roman" w:hAnsi="Times New Roman"/>
                <w:color w:val="000000" w:themeColor="text1"/>
                <w:sz w:val="24"/>
                <w14:textFill>
                  <w14:solidFill>
                    <w14:schemeClr w14:val="tx1"/>
                  </w14:solidFill>
                </w14:textFill>
              </w:rPr>
              <w:t>范围介于</w:t>
            </w:r>
            <w:r>
              <w:rPr>
                <w:rFonts w:ascii="Times New Roman" w:hAnsi="Times New Roman" w:eastAsia="Times New Roman"/>
                <w:color w:val="000000" w:themeColor="text1"/>
                <w:sz w:val="24"/>
                <w14:textFill>
                  <w14:solidFill>
                    <w14:schemeClr w14:val="tx1"/>
                  </w14:solidFill>
                </w14:textFill>
              </w:rPr>
              <w:t>风电场区域东经</w:t>
            </w:r>
            <w:r>
              <w:rPr>
                <w:rFonts w:hint="default" w:ascii="Times New Roman" w:hAnsi="Times New Roman" w:eastAsia="Times New Roman"/>
                <w:color w:val="000000" w:themeColor="text1"/>
                <w:sz w:val="24"/>
                <w:lang w:val="en-US" w:eastAsia="zh-CN"/>
                <w14:textFill>
                  <w14:solidFill>
                    <w14:schemeClr w14:val="tx1"/>
                  </w14:solidFill>
                </w14:textFill>
              </w:rPr>
              <w:t>109°</w:t>
            </w:r>
            <w:r>
              <w:rPr>
                <w:rFonts w:hint="eastAsia" w:eastAsia="Times New Roman"/>
                <w:color w:val="000000" w:themeColor="text1"/>
                <w:sz w:val="24"/>
                <w:lang w:val="en-US" w:eastAsia="zh-CN"/>
                <w14:textFill>
                  <w14:solidFill>
                    <w14:schemeClr w14:val="tx1"/>
                  </w14:solidFill>
                </w14:textFill>
              </w:rPr>
              <w:t>48</w:t>
            </w:r>
            <w:r>
              <w:rPr>
                <w:rFonts w:hint="default" w:ascii="Times New Roman" w:hAnsi="Times New Roman" w:eastAsia="Times New Roman"/>
                <w:color w:val="000000" w:themeColor="text1"/>
                <w:sz w:val="24"/>
                <w:lang w:val="en-US" w:eastAsia="zh-CN"/>
                <w14:textFill>
                  <w14:solidFill>
                    <w14:schemeClr w14:val="tx1"/>
                  </w14:solidFill>
                </w14:textFill>
              </w:rPr>
              <w:t>'</w:t>
            </w:r>
            <w:r>
              <w:rPr>
                <w:rFonts w:hint="eastAsia" w:eastAsia="Times New Roman"/>
                <w:color w:val="000000" w:themeColor="text1"/>
                <w:sz w:val="24"/>
                <w:lang w:val="en-US" w:eastAsia="zh-CN"/>
                <w14:textFill>
                  <w14:solidFill>
                    <w14:schemeClr w14:val="tx1"/>
                  </w14:solidFill>
                </w14:textFill>
              </w:rPr>
              <w:t>36</w:t>
            </w:r>
            <w:r>
              <w:rPr>
                <w:rFonts w:hint="default" w:ascii="Times New Roman" w:hAnsi="Times New Roman" w:eastAsia="Times New Roman"/>
                <w:color w:val="000000" w:themeColor="text1"/>
                <w:sz w:val="24"/>
                <w:lang w:val="en-US" w:eastAsia="zh-CN"/>
                <w14:textFill>
                  <w14:solidFill>
                    <w14:schemeClr w14:val="tx1"/>
                  </w14:solidFill>
                </w14:textFill>
              </w:rPr>
              <w:t>"</w:t>
            </w:r>
            <w:r>
              <w:rPr>
                <w:rFonts w:hint="eastAsia" w:ascii="Times New Roman" w:hAnsi="Times New Roman" w:eastAsia="Times New Roman"/>
                <w:color w:val="000000" w:themeColor="text1"/>
                <w:sz w:val="24"/>
                <w:lang w:val="en-US" w:eastAsia="zh-CN"/>
                <w14:textFill>
                  <w14:solidFill>
                    <w14:schemeClr w14:val="tx1"/>
                  </w14:solidFill>
                </w14:textFill>
              </w:rPr>
              <w:t>～</w:t>
            </w:r>
            <w:r>
              <w:rPr>
                <w:rFonts w:hint="default" w:ascii="Times New Roman" w:hAnsi="Times New Roman" w:eastAsia="Times New Roman"/>
                <w:color w:val="000000" w:themeColor="text1"/>
                <w:sz w:val="24"/>
                <w:lang w:val="en-US" w:eastAsia="zh-CN"/>
                <w14:textFill>
                  <w14:solidFill>
                    <w14:schemeClr w14:val="tx1"/>
                  </w14:solidFill>
                </w14:textFill>
              </w:rPr>
              <w:t>109°</w:t>
            </w:r>
            <w:r>
              <w:rPr>
                <w:rFonts w:hint="eastAsia" w:eastAsia="Times New Roman"/>
                <w:color w:val="000000" w:themeColor="text1"/>
                <w:sz w:val="24"/>
                <w:lang w:val="en-US" w:eastAsia="zh-CN"/>
                <w14:textFill>
                  <w14:solidFill>
                    <w14:schemeClr w14:val="tx1"/>
                  </w14:solidFill>
                </w14:textFill>
              </w:rPr>
              <w:t>54</w:t>
            </w:r>
            <w:r>
              <w:rPr>
                <w:rFonts w:hint="default" w:ascii="Times New Roman" w:hAnsi="Times New Roman" w:eastAsia="Times New Roman"/>
                <w:color w:val="000000" w:themeColor="text1"/>
                <w:sz w:val="24"/>
                <w:lang w:val="en-US" w:eastAsia="zh-CN"/>
                <w14:textFill>
                  <w14:solidFill>
                    <w14:schemeClr w14:val="tx1"/>
                  </w14:solidFill>
                </w14:textFill>
              </w:rPr>
              <w:t>'</w:t>
            </w:r>
            <w:r>
              <w:rPr>
                <w:rFonts w:hint="eastAsia" w:eastAsia="Times New Roman"/>
                <w:color w:val="000000" w:themeColor="text1"/>
                <w:sz w:val="24"/>
                <w:lang w:val="en-US" w:eastAsia="zh-CN"/>
                <w14:textFill>
                  <w14:solidFill>
                    <w14:schemeClr w14:val="tx1"/>
                  </w14:solidFill>
                </w14:textFill>
              </w:rPr>
              <w:t>5</w:t>
            </w:r>
            <w:r>
              <w:rPr>
                <w:rFonts w:hint="default" w:ascii="Times New Roman" w:hAnsi="Times New Roman" w:eastAsia="Times New Roman"/>
                <w:color w:val="000000" w:themeColor="text1"/>
                <w:sz w:val="24"/>
                <w:lang w:val="en-US" w:eastAsia="zh-CN"/>
                <w14:textFill>
                  <w14:solidFill>
                    <w14:schemeClr w14:val="tx1"/>
                  </w14:solidFill>
                </w14:textFill>
              </w:rPr>
              <w:t>"E</w:t>
            </w:r>
            <w:r>
              <w:rPr>
                <w:rFonts w:ascii="Times New Roman" w:hAnsi="Times New Roman" w:eastAsia="Times New Roman"/>
                <w:color w:val="000000" w:themeColor="text1"/>
                <w:sz w:val="24"/>
                <w14:textFill>
                  <w14:solidFill>
                    <w14:schemeClr w14:val="tx1"/>
                  </w14:solidFill>
                </w14:textFill>
              </w:rPr>
              <w:t>，北纬</w:t>
            </w:r>
            <w:r>
              <w:rPr>
                <w:rFonts w:hint="default" w:ascii="Times New Roman" w:hAnsi="Times New Roman" w:eastAsia="Times New Roman"/>
                <w:color w:val="000000" w:themeColor="text1"/>
                <w:sz w:val="24"/>
                <w:lang w:val="en-US" w:eastAsia="zh-CN"/>
                <w14:textFill>
                  <w14:solidFill>
                    <w14:schemeClr w14:val="tx1"/>
                  </w14:solidFill>
                </w14:textFill>
              </w:rPr>
              <w:t>34</w:t>
            </w:r>
            <w:r>
              <w:rPr>
                <w:rFonts w:hint="eastAsia" w:ascii="Times New Roman" w:hAnsi="Times New Roman" w:eastAsia="Times New Roman"/>
                <w:color w:val="000000" w:themeColor="text1"/>
                <w:sz w:val="24"/>
                <w:lang w:val="en-US" w:eastAsia="zh-CN"/>
                <w14:textFill>
                  <w14:solidFill>
                    <w14:schemeClr w14:val="tx1"/>
                  </w14:solidFill>
                </w14:textFill>
              </w:rPr>
              <w:t>°</w:t>
            </w:r>
            <w:r>
              <w:rPr>
                <w:rFonts w:hint="eastAsia" w:eastAsia="Times New Roman"/>
                <w:color w:val="000000" w:themeColor="text1"/>
                <w:sz w:val="24"/>
                <w:lang w:val="en-US" w:eastAsia="zh-CN"/>
                <w14:textFill>
                  <w14:solidFill>
                    <w14:schemeClr w14:val="tx1"/>
                  </w14:solidFill>
                </w14:textFill>
              </w:rPr>
              <w:t>13</w:t>
            </w:r>
            <w:r>
              <w:rPr>
                <w:rFonts w:hint="default" w:ascii="Times New Roman" w:hAnsi="Times New Roman" w:eastAsia="Times New Roman"/>
                <w:color w:val="000000" w:themeColor="text1"/>
                <w:sz w:val="24"/>
                <w:lang w:val="en-US" w:eastAsia="zh-CN"/>
                <w14:textFill>
                  <w14:solidFill>
                    <w14:schemeClr w14:val="tx1"/>
                  </w14:solidFill>
                </w14:textFill>
              </w:rPr>
              <w:t>'</w:t>
            </w:r>
            <w:r>
              <w:rPr>
                <w:rFonts w:hint="eastAsia" w:eastAsia="Times New Roman"/>
                <w:color w:val="000000" w:themeColor="text1"/>
                <w:sz w:val="24"/>
                <w:lang w:val="en-US" w:eastAsia="zh-CN"/>
                <w14:textFill>
                  <w14:solidFill>
                    <w14:schemeClr w14:val="tx1"/>
                  </w14:solidFill>
                </w14:textFill>
              </w:rPr>
              <w:t>48</w:t>
            </w:r>
            <w:r>
              <w:rPr>
                <w:rFonts w:hint="default" w:ascii="Times New Roman" w:hAnsi="Times New Roman" w:eastAsia="Times New Roman"/>
                <w:color w:val="000000" w:themeColor="text1"/>
                <w:sz w:val="24"/>
                <w:lang w:val="en-US" w:eastAsia="zh-CN"/>
                <w14:textFill>
                  <w14:solidFill>
                    <w14:schemeClr w14:val="tx1"/>
                  </w14:solidFill>
                </w14:textFill>
              </w:rPr>
              <w:t>"N</w:t>
            </w:r>
            <w:r>
              <w:rPr>
                <w:rFonts w:hint="eastAsia" w:ascii="Times New Roman" w:hAnsi="Times New Roman" w:eastAsia="Times New Roman"/>
                <w:color w:val="000000" w:themeColor="text1"/>
                <w:sz w:val="24"/>
                <w:lang w:val="en-US" w:eastAsia="zh-CN"/>
                <w14:textFill>
                  <w14:solidFill>
                    <w14:schemeClr w14:val="tx1"/>
                  </w14:solidFill>
                </w14:textFill>
              </w:rPr>
              <w:t>～</w:t>
            </w:r>
            <w:r>
              <w:rPr>
                <w:rFonts w:hint="default" w:ascii="Times New Roman" w:hAnsi="Times New Roman" w:eastAsia="Times New Roman"/>
                <w:color w:val="000000" w:themeColor="text1"/>
                <w:sz w:val="24"/>
                <w:lang w:val="en-US" w:eastAsia="zh-CN"/>
                <w14:textFill>
                  <w14:solidFill>
                    <w14:schemeClr w14:val="tx1"/>
                  </w14:solidFill>
                </w14:textFill>
              </w:rPr>
              <w:t>3</w:t>
            </w:r>
            <w:r>
              <w:rPr>
                <w:rFonts w:hint="eastAsia" w:eastAsia="Times New Roman"/>
                <w:color w:val="000000" w:themeColor="text1"/>
                <w:sz w:val="24"/>
                <w:lang w:val="en-US" w:eastAsia="zh-CN"/>
                <w14:textFill>
                  <w14:solidFill>
                    <w14:schemeClr w14:val="tx1"/>
                  </w14:solidFill>
                </w14:textFill>
              </w:rPr>
              <w:t>5</w:t>
            </w:r>
            <w:r>
              <w:rPr>
                <w:rFonts w:hint="eastAsia" w:ascii="Times New Roman" w:hAnsi="Times New Roman" w:eastAsia="Times New Roman"/>
                <w:color w:val="000000" w:themeColor="text1"/>
                <w:sz w:val="24"/>
                <w:lang w:val="en-US" w:eastAsia="zh-CN"/>
                <w14:textFill>
                  <w14:solidFill>
                    <w14:schemeClr w14:val="tx1"/>
                  </w14:solidFill>
                </w14:textFill>
              </w:rPr>
              <w:t>°</w:t>
            </w:r>
            <w:r>
              <w:rPr>
                <w:rFonts w:hint="eastAsia" w:eastAsia="Times New Roman"/>
                <w:color w:val="000000" w:themeColor="text1"/>
                <w:sz w:val="24"/>
                <w:lang w:val="en-US" w:eastAsia="zh-CN"/>
                <w14:textFill>
                  <w14:solidFill>
                    <w14:schemeClr w14:val="tx1"/>
                  </w14:solidFill>
                </w14:textFill>
              </w:rPr>
              <w:t>57</w:t>
            </w:r>
            <w:r>
              <w:rPr>
                <w:rFonts w:hint="default" w:ascii="Times New Roman" w:hAnsi="Times New Roman" w:eastAsia="Times New Roman"/>
                <w:color w:val="000000" w:themeColor="text1"/>
                <w:sz w:val="24"/>
                <w:lang w:val="en-US" w:eastAsia="zh-CN"/>
                <w14:textFill>
                  <w14:solidFill>
                    <w14:schemeClr w14:val="tx1"/>
                  </w14:solidFill>
                </w14:textFill>
              </w:rPr>
              <w:t>'</w:t>
            </w:r>
            <w:r>
              <w:rPr>
                <w:rFonts w:hint="eastAsia" w:eastAsia="Times New Roman"/>
                <w:color w:val="000000" w:themeColor="text1"/>
                <w:sz w:val="24"/>
                <w:lang w:val="en-US" w:eastAsia="zh-CN"/>
                <w14:textFill>
                  <w14:solidFill>
                    <w14:schemeClr w14:val="tx1"/>
                  </w14:solidFill>
                </w14:textFill>
              </w:rPr>
              <w:t>5</w:t>
            </w:r>
            <w:r>
              <w:rPr>
                <w:rFonts w:hint="default" w:ascii="Times New Roman" w:hAnsi="Times New Roman" w:eastAsia="Times New Roman"/>
                <w:color w:val="000000" w:themeColor="text1"/>
                <w:sz w:val="24"/>
                <w:lang w:val="en-US" w:eastAsia="zh-CN"/>
                <w14:textFill>
                  <w14:solidFill>
                    <w14:schemeClr w14:val="tx1"/>
                  </w14:solidFill>
                </w14:textFill>
              </w:rPr>
              <w:t>"</w:t>
            </w:r>
            <w:r>
              <w:rPr>
                <w:rFonts w:ascii="Times New Roman" w:hAnsi="Times New Roman" w:eastAsia="Times New Roman"/>
                <w:color w:val="000000" w:themeColor="text1"/>
                <w:sz w:val="24"/>
                <w14:textFill>
                  <w14:solidFill>
                    <w14:schemeClr w14:val="tx1"/>
                  </w14:solidFill>
                </w14:textFill>
              </w:rPr>
              <w:t>N</w:t>
            </w:r>
            <w:r>
              <w:rPr>
                <w:rFonts w:ascii="Times New Roman" w:hAnsi="Times New Roman"/>
                <w:color w:val="000000" w:themeColor="text1"/>
                <w:sz w:val="24"/>
                <w14:textFill>
                  <w14:solidFill>
                    <w14:schemeClr w14:val="tx1"/>
                  </w14:solidFill>
                </w14:textFill>
              </w:rPr>
              <w:t>，取风电场内位于风电场</w:t>
            </w:r>
            <w:r>
              <w:rPr>
                <w:rFonts w:hint="eastAsia"/>
                <w:color w:val="000000" w:themeColor="text1"/>
                <w:sz w:val="24"/>
                <w:lang w:val="en-US" w:eastAsia="zh-CN"/>
                <w14:textFill>
                  <w14:solidFill>
                    <w14:schemeClr w14:val="tx1"/>
                  </w14:solidFill>
                </w14:textFill>
              </w:rPr>
              <w:t>西</w:t>
            </w:r>
            <w:r>
              <w:rPr>
                <w:rFonts w:ascii="Times New Roman" w:hAnsi="Times New Roman"/>
                <w:color w:val="000000" w:themeColor="text1"/>
                <w:sz w:val="24"/>
                <w14:textFill>
                  <w14:solidFill>
                    <w14:schemeClr w14:val="tx1"/>
                  </w14:solidFill>
                </w14:textFill>
              </w:rPr>
              <w:t>部的</w:t>
            </w:r>
            <w:r>
              <w:rPr>
                <w:rFonts w:hint="eastAsia"/>
                <w:color w:val="000000" w:themeColor="text1"/>
                <w:sz w:val="24"/>
                <w:lang w:val="en-US" w:eastAsia="zh-CN"/>
                <w14:textFill>
                  <w14:solidFill>
                    <w14:schemeClr w14:val="tx1"/>
                  </w14:solidFill>
                </w14:textFill>
              </w:rPr>
              <w:t>T2</w:t>
            </w:r>
            <w:r>
              <w:rPr>
                <w:rFonts w:ascii="Times New Roman" w:hAnsi="Times New Roman"/>
                <w:color w:val="000000" w:themeColor="text1"/>
                <w:sz w:val="24"/>
                <w14:textFill>
                  <w14:solidFill>
                    <w14:schemeClr w14:val="tx1"/>
                  </w14:solidFill>
                </w14:textFill>
              </w:rPr>
              <w:t>号风机（东经</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109°50′7.43045″</w:t>
            </w:r>
            <w:r>
              <w:rPr>
                <w:rFonts w:hint="default" w:ascii="Times New Roman" w:hAnsi="Times New Roman" w:cs="Times New Roman"/>
                <w:color w:val="000000" w:themeColor="text1"/>
                <w:sz w:val="24"/>
                <w14:textFill>
                  <w14:solidFill>
                    <w14:schemeClr w14:val="tx1"/>
                  </w14:solidFill>
                </w14:textFill>
              </w:rPr>
              <w:t>，北纬：</w:t>
            </w:r>
            <w:r>
              <w:rPr>
                <w:rFonts w:hint="default" w:ascii="Times New Roman" w:hAnsi="Times New Roman" w:cs="Times New Roman"/>
                <w:color w:val="000000" w:themeColor="text1"/>
                <w:sz w:val="24"/>
                <w:lang w:val="en-US" w:eastAsia="zh-CN"/>
                <w14:textFill>
                  <w14:solidFill>
                    <w14:schemeClr w14:val="tx1"/>
                  </w14:solidFill>
                </w14:textFill>
              </w:rPr>
              <w:t>35°16′11.47750″</w:t>
            </w:r>
            <w:r>
              <w:rPr>
                <w:rFonts w:ascii="Times New Roman" w:hAnsi="Times New Roman"/>
                <w:color w:val="000000" w:themeColor="text1"/>
                <w:sz w:val="24"/>
                <w14:textFill>
                  <w14:solidFill>
                    <w14:schemeClr w14:val="tx1"/>
                  </w14:solidFill>
                </w14:textFill>
              </w:rPr>
              <w:t>）作为代表风机进行光影影响的预测分析。</w:t>
            </w:r>
            <w:r>
              <w:rPr>
                <w:rFonts w:hint="eastAsia" w:ascii="Times New Roman" w:hAnsi="Times New Roman"/>
                <w:color w:val="000000" w:themeColor="text1"/>
                <w:sz w:val="24"/>
                <w:lang w:val="en-US" w:eastAsia="zh-CN"/>
                <w14:textFill>
                  <w14:solidFill>
                    <w14:schemeClr w14:val="tx1"/>
                  </w14:solidFill>
                </w14:textFill>
              </w:rPr>
              <w:t>考虑农村地区日照不少于3h，报告</w:t>
            </w:r>
            <w:r>
              <w:rPr>
                <w:rFonts w:ascii="Times New Roman" w:hAnsi="Times New Roman"/>
                <w:color w:val="000000" w:themeColor="text1"/>
                <w:sz w:val="24"/>
                <w14:textFill>
                  <w14:solidFill>
                    <w14:schemeClr w14:val="tx1"/>
                  </w14:solidFill>
                </w14:textFill>
              </w:rPr>
              <w:t>计算风机冬至日</w:t>
            </w:r>
            <w:r>
              <w:rPr>
                <w:rFonts w:hint="eastAsia" w:ascii="Times New Roman" w:hAnsi="Times New Roman"/>
                <w:color w:val="000000" w:themeColor="text1"/>
                <w:sz w:val="24"/>
                <w:lang w:val="en-US" w:eastAsia="zh-CN"/>
                <w14:textFill>
                  <w14:solidFill>
                    <w14:schemeClr w14:val="tx1"/>
                  </w14:solidFill>
                </w14:textFill>
              </w:rPr>
              <w:t>10</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0时至1</w:t>
            </w:r>
            <w:r>
              <w:rPr>
                <w:rFonts w:hint="eastAsia" w:ascii="Times New Roman" w:hAnsi="Times New Roman"/>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0时逐时太阳高度角、太阳方位角和投影长度，具体见表</w:t>
            </w:r>
            <w:r>
              <w:rPr>
                <w:rFonts w:hint="eastAsia"/>
                <w:color w:val="000000" w:themeColor="text1"/>
                <w:sz w:val="24"/>
                <w:lang w:val="en-US" w:eastAsia="zh-CN"/>
                <w14:textFill>
                  <w14:solidFill>
                    <w14:schemeClr w14:val="tx1"/>
                  </w14:solidFill>
                </w14:textFill>
              </w:rPr>
              <w:t>4-6</w:t>
            </w:r>
            <w:r>
              <w:rPr>
                <w:rFonts w:ascii="Times New Roman" w:hAnsi="Times New Roman"/>
                <w:color w:val="000000" w:themeColor="text1"/>
                <w:sz w:val="24"/>
                <w14:textFill>
                  <w14:solidFill>
                    <w14:schemeClr w14:val="tx1"/>
                  </w14:solidFill>
                </w14:textFill>
              </w:rPr>
              <w:t>。</w:t>
            </w:r>
          </w:p>
          <w:p>
            <w:pPr>
              <w:pStyle w:val="44"/>
              <w:keepNext w:val="0"/>
              <w:keepLines w:val="0"/>
              <w:pageBreakBefore w:val="0"/>
              <w:kinsoku/>
              <w:wordWrap/>
              <w:overflowPunct/>
              <w:topLinePunct w:val="0"/>
              <w:bidi w:val="0"/>
              <w:snapToGrid/>
              <w:spacing w:line="240" w:lineRule="auto"/>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表</w:t>
            </w:r>
            <w:r>
              <w:rPr>
                <w:rFonts w:hint="eastAsia" w:eastAsia="宋体"/>
                <w:color w:val="000000" w:themeColor="text1"/>
                <w:lang w:val="en-US" w:eastAsia="zh-CN"/>
                <w14:textFill>
                  <w14:solidFill>
                    <w14:schemeClr w14:val="tx1"/>
                  </w14:solidFill>
                </w14:textFill>
              </w:rPr>
              <w:t>4-6</w:t>
            </w:r>
            <w:r>
              <w:rPr>
                <w:rFonts w:ascii="Times New Roman" w:hAnsi="Times New Roman" w:eastAsia="宋体"/>
                <w:color w:val="000000" w:themeColor="text1"/>
                <w14:textFill>
                  <w14:solidFill>
                    <w14:schemeClr w14:val="tx1"/>
                  </w14:solidFill>
                </w14:textFill>
              </w:rPr>
              <w:t xml:space="preserve"> </w:t>
            </w:r>
            <w:r>
              <w:rPr>
                <w:rFonts w:hint="eastAsia" w:eastAsia="宋体"/>
                <w:color w:val="000000" w:themeColor="text1"/>
                <w:lang w:val="en-US" w:eastAsia="zh-CN"/>
                <w14:textFill>
                  <w14:solidFill>
                    <w14:schemeClr w14:val="tx1"/>
                  </w14:solidFill>
                </w14:textFill>
              </w:rPr>
              <w:t xml:space="preserve"> </w:t>
            </w:r>
            <w:r>
              <w:rPr>
                <w:rFonts w:ascii="Times New Roman" w:hAnsi="Times New Roman" w:eastAsia="宋体"/>
                <w:color w:val="000000" w:themeColor="text1"/>
                <w14:textFill>
                  <w14:solidFill>
                    <w14:schemeClr w14:val="tx1"/>
                  </w14:solidFill>
                </w14:textFill>
              </w:rPr>
              <w:t>本项目冬至日各时段风机光影长度</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794"/>
              <w:gridCol w:w="1108"/>
              <w:gridCol w:w="1009"/>
              <w:gridCol w:w="848"/>
              <w:gridCol w:w="952"/>
              <w:gridCol w:w="1113"/>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tcBorders>
                    <w:top w:val="single" w:color="auto" w:sz="12"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冬至日时段</w:t>
                  </w:r>
                </w:p>
              </w:tc>
              <w:tc>
                <w:tcPr>
                  <w:tcW w:w="794" w:type="dxa"/>
                  <w:tcBorders>
                    <w:top w:val="single" w:color="auto" w:sz="12" w:space="0"/>
                  </w:tcBorders>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10:30</w:t>
                  </w:r>
                </w:p>
              </w:tc>
              <w:tc>
                <w:tcPr>
                  <w:tcW w:w="1108" w:type="dxa"/>
                  <w:tcBorders>
                    <w:top w:val="single" w:color="auto" w:sz="12"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Cs w:val="21"/>
                      <w14:textFill>
                        <w14:solidFill>
                          <w14:schemeClr w14:val="tx1"/>
                        </w14:solidFill>
                      </w14:textFill>
                    </w:rPr>
                    <w:t>11:00</w:t>
                  </w:r>
                </w:p>
              </w:tc>
              <w:tc>
                <w:tcPr>
                  <w:tcW w:w="1009" w:type="dxa"/>
                  <w:tcBorders>
                    <w:top w:val="single" w:color="auto" w:sz="12" w:space="0"/>
                  </w:tcBorders>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11:30</w:t>
                  </w:r>
                </w:p>
              </w:tc>
              <w:tc>
                <w:tcPr>
                  <w:tcW w:w="848" w:type="dxa"/>
                  <w:tcBorders>
                    <w:top w:val="single" w:color="auto" w:sz="12"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12:00</w:t>
                  </w:r>
                </w:p>
              </w:tc>
              <w:tc>
                <w:tcPr>
                  <w:tcW w:w="952" w:type="dxa"/>
                  <w:tcBorders>
                    <w:top w:val="single" w:color="auto" w:sz="12" w:space="0"/>
                  </w:tcBorders>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12:30</w:t>
                  </w:r>
                </w:p>
              </w:tc>
              <w:tc>
                <w:tcPr>
                  <w:tcW w:w="1113" w:type="dxa"/>
                  <w:tcBorders>
                    <w:top w:val="single" w:color="auto" w:sz="12"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13:00</w:t>
                  </w:r>
                </w:p>
              </w:tc>
              <w:tc>
                <w:tcPr>
                  <w:tcW w:w="919" w:type="dxa"/>
                  <w:tcBorders>
                    <w:top w:val="single" w:color="auto" w:sz="12" w:space="0"/>
                    <w:right w:val="single" w:color="auto" w:sz="12" w:space="0"/>
                  </w:tcBorders>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tcBorders>
                    <w:left w:val="single" w:color="auto" w:sz="4" w:space="0"/>
                  </w:tcBorders>
                  <w:vAlign w:val="center"/>
                </w:tcPr>
                <w:p>
                  <w:pPr>
                    <w:keepNext w:val="0"/>
                    <w:keepLines w:val="0"/>
                    <w:pageBreakBefore w:val="0"/>
                    <w:kinsoku/>
                    <w:wordWrap/>
                    <w:overflowPunct/>
                    <w:topLinePunct w:val="0"/>
                    <w:bidi w:val="0"/>
                    <w:snapToGrid/>
                    <w:jc w:val="center"/>
                    <w:textAlignment w:val="auto"/>
                    <w:rPr>
                      <w:rFonts w:hint="default" w:ascii="Times New Roman" w:hAnsi="Times New Roman"/>
                      <w:color w:val="000000" w:themeColor="text1"/>
                      <w:szCs w:val="21"/>
                      <w:lang w:val="en-US" w:eastAsia="zh-CN"/>
                      <w14:textFill>
                        <w14:solidFill>
                          <w14:schemeClr w14:val="tx1"/>
                        </w14:solidFill>
                      </w14:textFill>
                    </w:rPr>
                  </w:pPr>
                  <w:r>
                    <w:rPr>
                      <w:rFonts w:ascii="Times New Roman" w:hAnsi="Times New Roman"/>
                      <w:color w:val="000000" w:themeColor="text1"/>
                      <w:szCs w:val="21"/>
                      <w14:textFill>
                        <w14:solidFill>
                          <w14:schemeClr w14:val="tx1"/>
                        </w14:solidFill>
                      </w14:textFill>
                    </w:rPr>
                    <w:t>太阳高度角</w:t>
                  </w:r>
                  <w:r>
                    <w:rPr>
                      <w:rFonts w:hint="eastAsia" w:ascii="Times New Roman" w:hAnsi="Times New Roman"/>
                      <w:color w:val="000000" w:themeColor="text1"/>
                      <w:szCs w:val="21"/>
                      <w:lang w:val="en-US" w:eastAsia="zh-CN"/>
                      <w14:textFill>
                        <w14:solidFill>
                          <w14:schemeClr w14:val="tx1"/>
                        </w14:solidFill>
                      </w14:textFill>
                    </w:rPr>
                    <w:t>h</w:t>
                  </w:r>
                  <w:r>
                    <w:rPr>
                      <w:rFonts w:hint="eastAsia" w:ascii="Times New Roman" w:hAnsi="Times New Roman"/>
                      <w:color w:val="000000" w:themeColor="text1"/>
                      <w:szCs w:val="21"/>
                      <w:vertAlign w:val="subscript"/>
                      <w:lang w:val="en-US" w:eastAsia="zh-CN"/>
                      <w14:textFill>
                        <w14:solidFill>
                          <w14:schemeClr w14:val="tx1"/>
                        </w14:solidFill>
                      </w14:textFill>
                    </w:rPr>
                    <w:t>0</w:t>
                  </w:r>
                </w:p>
              </w:tc>
              <w:tc>
                <w:tcPr>
                  <w:tcW w:w="794" w:type="dxa"/>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27.71</w:t>
                  </w:r>
                </w:p>
              </w:tc>
              <w:tc>
                <w:tcPr>
                  <w:tcW w:w="1108" w:type="dxa"/>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29.77</w:t>
                  </w:r>
                </w:p>
              </w:tc>
              <w:tc>
                <w:tcPr>
                  <w:tcW w:w="1009" w:type="dxa"/>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31.04</w:t>
                  </w:r>
                </w:p>
              </w:tc>
              <w:tc>
                <w:tcPr>
                  <w:tcW w:w="848" w:type="dxa"/>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31.47</w:t>
                  </w:r>
                </w:p>
              </w:tc>
              <w:tc>
                <w:tcPr>
                  <w:tcW w:w="952" w:type="dxa"/>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31.04</w:t>
                  </w:r>
                </w:p>
              </w:tc>
              <w:tc>
                <w:tcPr>
                  <w:tcW w:w="1113" w:type="dxa"/>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29.77</w:t>
                  </w:r>
                </w:p>
              </w:tc>
              <w:tc>
                <w:tcPr>
                  <w:tcW w:w="919" w:type="dxa"/>
                  <w:tcBorders>
                    <w:right w:val="single" w:color="auto" w:sz="12" w:space="0"/>
                  </w:tcBorders>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tcBorders>
                    <w:left w:val="single" w:color="auto" w:sz="4"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太阳时角τ</w:t>
                  </w:r>
                </w:p>
              </w:tc>
              <w:tc>
                <w:tcPr>
                  <w:tcW w:w="794" w:type="dxa"/>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22.5</w:t>
                  </w:r>
                </w:p>
              </w:tc>
              <w:tc>
                <w:tcPr>
                  <w:tcW w:w="1108" w:type="dxa"/>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kern w:val="2"/>
                      <w:sz w:val="21"/>
                      <w:szCs w:val="21"/>
                      <w:lang w:val="en-US" w:eastAsia="zh-CN" w:bidi="ar-SA"/>
                      <w14:textFill>
                        <w14:solidFill>
                          <w14:schemeClr w14:val="tx1"/>
                        </w14:solidFill>
                      </w14:textFill>
                    </w:rPr>
                    <w:t>15</w:t>
                  </w:r>
                </w:p>
              </w:tc>
              <w:tc>
                <w:tcPr>
                  <w:tcW w:w="1009" w:type="dxa"/>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7.5</w:t>
                  </w:r>
                </w:p>
              </w:tc>
              <w:tc>
                <w:tcPr>
                  <w:tcW w:w="848" w:type="dxa"/>
                  <w:vAlign w:val="center"/>
                </w:tcPr>
                <w:p>
                  <w:pPr>
                    <w:keepNext w:val="0"/>
                    <w:keepLines w:val="0"/>
                    <w:pageBreakBefore w:val="0"/>
                    <w:kinsoku/>
                    <w:wordWrap/>
                    <w:overflowPunct/>
                    <w:topLinePunct w:val="0"/>
                    <w:bidi w:val="0"/>
                    <w:snapToGrid/>
                    <w:jc w:val="center"/>
                    <w:textAlignment w:val="auto"/>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w:t>
                  </w:r>
                </w:p>
              </w:tc>
              <w:tc>
                <w:tcPr>
                  <w:tcW w:w="952" w:type="dxa"/>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-7.5</w:t>
                  </w:r>
                </w:p>
              </w:tc>
              <w:tc>
                <w:tcPr>
                  <w:tcW w:w="1113" w:type="dxa"/>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-15</w:t>
                  </w:r>
                </w:p>
              </w:tc>
              <w:tc>
                <w:tcPr>
                  <w:tcW w:w="919" w:type="dxa"/>
                  <w:tcBorders>
                    <w:right w:val="single" w:color="auto" w:sz="12" w:space="0"/>
                  </w:tcBorders>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tcBorders>
                    <w:left w:val="single" w:color="auto" w:sz="4"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太阳方位角γ</w:t>
                  </w:r>
                </w:p>
              </w:tc>
              <w:tc>
                <w:tcPr>
                  <w:tcW w:w="794" w:type="dxa"/>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23.40</w:t>
                  </w:r>
                </w:p>
              </w:tc>
              <w:tc>
                <w:tcPr>
                  <w:tcW w:w="1108" w:type="dxa"/>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15.89</w:t>
                  </w:r>
                </w:p>
              </w:tc>
              <w:tc>
                <w:tcPr>
                  <w:tcW w:w="1009" w:type="dxa"/>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8.05</w:t>
                  </w:r>
                </w:p>
              </w:tc>
              <w:tc>
                <w:tcPr>
                  <w:tcW w:w="848" w:type="dxa"/>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w:t>
                  </w:r>
                </w:p>
              </w:tc>
              <w:tc>
                <w:tcPr>
                  <w:tcW w:w="952" w:type="dxa"/>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-8.05</w:t>
                  </w:r>
                </w:p>
              </w:tc>
              <w:tc>
                <w:tcPr>
                  <w:tcW w:w="1113" w:type="dxa"/>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-15.89</w:t>
                  </w:r>
                </w:p>
              </w:tc>
              <w:tc>
                <w:tcPr>
                  <w:tcW w:w="919" w:type="dxa"/>
                  <w:tcBorders>
                    <w:right w:val="single" w:color="auto" w:sz="12" w:space="0"/>
                  </w:tcBorders>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tcBorders>
                    <w:left w:val="single" w:color="auto" w:sz="4" w:space="0"/>
                  </w:tcBorders>
                  <w:vAlign w:val="center"/>
                </w:tcPr>
                <w:p>
                  <w:pPr>
                    <w:keepNext w:val="0"/>
                    <w:keepLines w:val="0"/>
                    <w:pageBreakBefore w:val="0"/>
                    <w:kinsoku/>
                    <w:wordWrap/>
                    <w:overflowPunct/>
                    <w:topLinePunct w:val="0"/>
                    <w:bidi w:val="0"/>
                    <w:snapToGrid/>
                    <w:jc w:val="center"/>
                    <w:textAlignment w:val="auto"/>
                    <w:rPr>
                      <w:rFonts w:hint="eastAsia" w:ascii="Times New Roman" w:hAnsi="Times New Roman" w:eastAsia="宋体"/>
                      <w:color w:val="000000" w:themeColor="text1"/>
                      <w:szCs w:val="21"/>
                      <w:lang w:val="en-US" w:eastAsia="zh-CN"/>
                      <w14:textFill>
                        <w14:solidFill>
                          <w14:schemeClr w14:val="tx1"/>
                        </w14:solidFill>
                      </w14:textFill>
                    </w:rPr>
                  </w:pPr>
                  <w:r>
                    <w:rPr>
                      <w:rFonts w:ascii="Times New Roman" w:hAnsi="Times New Roman"/>
                      <w:color w:val="000000" w:themeColor="text1"/>
                      <w:szCs w:val="21"/>
                      <w14:textFill>
                        <w14:solidFill>
                          <w14:schemeClr w14:val="tx1"/>
                        </w14:solidFill>
                      </w14:textFill>
                    </w:rPr>
                    <w:t>地面投影</w:t>
                  </w:r>
                  <w:r>
                    <w:rPr>
                      <w:rFonts w:hint="eastAsia" w:ascii="Times New Roman" w:hAnsi="Times New Roman"/>
                      <w:color w:val="000000" w:themeColor="text1"/>
                      <w:szCs w:val="21"/>
                      <w:lang w:val="en-US" w:eastAsia="zh-CN"/>
                      <w14:textFill>
                        <w14:solidFill>
                          <w14:schemeClr w14:val="tx1"/>
                        </w14:solidFill>
                      </w14:textFill>
                    </w:rPr>
                    <w:t>方向</w:t>
                  </w:r>
                </w:p>
              </w:tc>
              <w:tc>
                <w:tcPr>
                  <w:tcW w:w="794" w:type="dxa"/>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22.5</w:t>
                  </w:r>
                </w:p>
              </w:tc>
              <w:tc>
                <w:tcPr>
                  <w:tcW w:w="1108" w:type="dxa"/>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kern w:val="2"/>
                      <w:sz w:val="21"/>
                      <w:szCs w:val="21"/>
                      <w:lang w:val="en-US" w:eastAsia="zh-CN" w:bidi="ar-SA"/>
                      <w14:textFill>
                        <w14:solidFill>
                          <w14:schemeClr w14:val="tx1"/>
                        </w14:solidFill>
                      </w14:textFill>
                    </w:rPr>
                    <w:t>15</w:t>
                  </w:r>
                </w:p>
              </w:tc>
              <w:tc>
                <w:tcPr>
                  <w:tcW w:w="1009" w:type="dxa"/>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7.5</w:t>
                  </w:r>
                </w:p>
              </w:tc>
              <w:tc>
                <w:tcPr>
                  <w:tcW w:w="848" w:type="dxa"/>
                  <w:vAlign w:val="center"/>
                </w:tcPr>
                <w:p>
                  <w:pPr>
                    <w:keepNext w:val="0"/>
                    <w:keepLines w:val="0"/>
                    <w:pageBreakBefore w:val="0"/>
                    <w:kinsoku/>
                    <w:wordWrap/>
                    <w:overflowPunct/>
                    <w:topLinePunct w:val="0"/>
                    <w:bidi w:val="0"/>
                    <w:snapToGrid/>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0</w:t>
                  </w:r>
                </w:p>
              </w:tc>
              <w:tc>
                <w:tcPr>
                  <w:tcW w:w="952" w:type="dxa"/>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-7.5</w:t>
                  </w:r>
                </w:p>
              </w:tc>
              <w:tc>
                <w:tcPr>
                  <w:tcW w:w="1113" w:type="dxa"/>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-15</w:t>
                  </w:r>
                </w:p>
              </w:tc>
              <w:tc>
                <w:tcPr>
                  <w:tcW w:w="919" w:type="dxa"/>
                  <w:tcBorders>
                    <w:right w:val="single" w:color="auto" w:sz="12" w:space="0"/>
                  </w:tcBorders>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tcBorders>
                    <w:left w:val="single" w:color="auto" w:sz="4" w:space="0"/>
                    <w:bottom w:val="single" w:color="auto" w:sz="12" w:space="0"/>
                  </w:tcBorders>
                  <w:vAlign w:val="center"/>
                </w:tcPr>
                <w:p>
                  <w:pPr>
                    <w:keepNext w:val="0"/>
                    <w:keepLines w:val="0"/>
                    <w:pageBreakBefore w:val="0"/>
                    <w:kinsoku/>
                    <w:wordWrap/>
                    <w:overflowPunct/>
                    <w:topLinePunct w:val="0"/>
                    <w:bidi w:val="0"/>
                    <w:snapToGrid/>
                    <w:jc w:val="center"/>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风机光影长度</w:t>
                  </w:r>
                </w:p>
              </w:tc>
              <w:tc>
                <w:tcPr>
                  <w:tcW w:w="794" w:type="dxa"/>
                  <w:tcBorders>
                    <w:bottom w:val="single" w:color="auto" w:sz="12" w:space="0"/>
                  </w:tcBorders>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406</w:t>
                  </w:r>
                </w:p>
              </w:tc>
              <w:tc>
                <w:tcPr>
                  <w:tcW w:w="1108" w:type="dxa"/>
                  <w:tcBorders>
                    <w:bottom w:val="single" w:color="auto" w:sz="12" w:space="0"/>
                  </w:tcBorders>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373</w:t>
                  </w:r>
                </w:p>
              </w:tc>
              <w:tc>
                <w:tcPr>
                  <w:tcW w:w="1009" w:type="dxa"/>
                  <w:tcBorders>
                    <w:bottom w:val="single" w:color="auto" w:sz="12" w:space="0"/>
                  </w:tcBorders>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355</w:t>
                  </w:r>
                </w:p>
              </w:tc>
              <w:tc>
                <w:tcPr>
                  <w:tcW w:w="848" w:type="dxa"/>
                  <w:tcBorders>
                    <w:bottom w:val="single" w:color="auto" w:sz="12" w:space="0"/>
                  </w:tcBorders>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349</w:t>
                  </w:r>
                </w:p>
              </w:tc>
              <w:tc>
                <w:tcPr>
                  <w:tcW w:w="952" w:type="dxa"/>
                  <w:tcBorders>
                    <w:bottom w:val="single" w:color="auto" w:sz="12" w:space="0"/>
                  </w:tcBorders>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355</w:t>
                  </w:r>
                </w:p>
              </w:tc>
              <w:tc>
                <w:tcPr>
                  <w:tcW w:w="1113" w:type="dxa"/>
                  <w:tcBorders>
                    <w:bottom w:val="single" w:color="auto" w:sz="12" w:space="0"/>
                  </w:tcBorders>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373</w:t>
                  </w:r>
                </w:p>
              </w:tc>
              <w:tc>
                <w:tcPr>
                  <w:tcW w:w="919" w:type="dxa"/>
                  <w:tcBorders>
                    <w:bottom w:val="single" w:color="auto" w:sz="12" w:space="0"/>
                    <w:right w:val="single" w:color="auto" w:sz="12" w:space="0"/>
                  </w:tcBorders>
                  <w:vAlign w:val="center"/>
                </w:tcPr>
                <w:p>
                  <w:pPr>
                    <w:keepNext w:val="0"/>
                    <w:keepLines w:val="0"/>
                    <w:pageBreakBefore w:val="0"/>
                    <w:kinsoku/>
                    <w:wordWrap/>
                    <w:overflowPunct/>
                    <w:topLinePunct w:val="0"/>
                    <w:bidi w:val="0"/>
                    <w:snapToGrid/>
                    <w:jc w:val="center"/>
                    <w:textAlignment w:val="auto"/>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406</w:t>
                  </w:r>
                </w:p>
              </w:tc>
            </w:tr>
          </w:tbl>
          <w:p>
            <w:pPr>
              <w:keepNext w:val="0"/>
              <w:keepLines w:val="0"/>
              <w:pageBreakBefore w:val="0"/>
              <w:kinsoku/>
              <w:wordWrap/>
              <w:overflowPunct/>
              <w:topLinePunct w:val="0"/>
              <w:bidi w:val="0"/>
              <w:snapToGrid/>
              <w:spacing w:line="360" w:lineRule="auto"/>
              <w:ind w:firstLine="420"/>
              <w:textAlignment w:val="auto"/>
              <w:rPr>
                <w:rFonts w:hint="eastAsia" w:ascii="Times New Roman" w:hAnsi="Times New Roman"/>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由预测结果可知，冬至日</w:t>
            </w:r>
            <w:r>
              <w:rPr>
                <w:rFonts w:hint="eastAsia" w:ascii="Times New Roman" w:hAnsi="Times New Roman"/>
                <w:color w:val="000000" w:themeColor="text1"/>
                <w:sz w:val="24"/>
                <w:lang w:val="en-US" w:eastAsia="zh-CN"/>
                <w14:textFill>
                  <w14:solidFill>
                    <w14:schemeClr w14:val="tx1"/>
                  </w14:solidFill>
                </w14:textFill>
              </w:rPr>
              <w:t>10</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0~</w:t>
            </w:r>
            <w:r>
              <w:rPr>
                <w:rFonts w:hint="eastAsia" w:ascii="Times New Roman" w:hAnsi="Times New Roman"/>
                <w:color w:val="000000" w:themeColor="text1"/>
                <w:sz w:val="24"/>
                <w:lang w:val="en-US" w:eastAsia="zh-CN"/>
                <w14:textFill>
                  <w14:solidFill>
                    <w14:schemeClr w14:val="tx1"/>
                  </w14:solidFill>
                </w14:textFill>
              </w:rPr>
              <w:t>13</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0之间，光影长度由大变小，再由小变大，投影区域也逐渐从风机</w:t>
            </w:r>
            <w:r>
              <w:rPr>
                <w:rFonts w:hint="eastAsia" w:ascii="Times New Roman" w:hAnsi="Times New Roman"/>
                <w:color w:val="000000" w:themeColor="text1"/>
                <w:sz w:val="24"/>
                <w:lang w:val="en-US" w:eastAsia="zh-CN"/>
                <w14:textFill>
                  <w14:solidFill>
                    <w14:schemeClr w14:val="tx1"/>
                  </w14:solidFill>
                </w14:textFill>
              </w:rPr>
              <w:t>南北</w:t>
            </w:r>
            <w:r>
              <w:rPr>
                <w:rFonts w:ascii="Times New Roman" w:hAnsi="Times New Roman"/>
                <w:color w:val="000000" w:themeColor="text1"/>
                <w:sz w:val="24"/>
                <w14:textFill>
                  <w14:solidFill>
                    <w14:schemeClr w14:val="tx1"/>
                  </w14:solidFill>
                </w14:textFill>
              </w:rPr>
              <w:t>轴线</w:t>
            </w:r>
            <w:r>
              <w:rPr>
                <w:rFonts w:hint="eastAsia" w:ascii="Times New Roman" w:hAnsi="Times New Roman"/>
                <w:color w:val="000000" w:themeColor="text1"/>
                <w:sz w:val="24"/>
                <w:lang w:val="en-US" w:eastAsia="zh-CN"/>
                <w14:textFill>
                  <w14:solidFill>
                    <w14:schemeClr w14:val="tx1"/>
                  </w14:solidFill>
                </w14:textFill>
              </w:rPr>
              <w:t>的</w:t>
            </w:r>
            <w:r>
              <w:rPr>
                <w:rFonts w:hint="default" w:ascii="Times New Roman" w:hAnsi="Times New Roman" w:cs="Times New Roman"/>
                <w:color w:val="000000" w:themeColor="text1"/>
                <w:sz w:val="24"/>
                <w:lang w:val="en-US" w:eastAsia="zh-CN"/>
                <w14:textFill>
                  <w14:solidFill>
                    <w14:schemeClr w14:val="tx1"/>
                  </w14:solidFill>
                </w14:textFill>
              </w:rPr>
              <w:t>22.5°</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15°</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7.5°</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0°</w:t>
            </w: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7.5°</w:t>
            </w: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15°</w:t>
            </w: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22.5°</w:t>
            </w:r>
            <w:r>
              <w:rPr>
                <w:rFonts w:ascii="Times New Roman" w:hAnsi="Times New Roman"/>
                <w:color w:val="000000" w:themeColor="text1"/>
                <w:sz w:val="24"/>
                <w14:textFill>
                  <w14:solidFill>
                    <w14:schemeClr w14:val="tx1"/>
                  </w14:solidFill>
                </w14:textFill>
              </w:rPr>
              <w:t>等7个大角度逐渐移动，其中最大光影长度出现在上午</w:t>
            </w:r>
            <w:r>
              <w:rPr>
                <w:rFonts w:hint="eastAsia" w:ascii="Times New Roman" w:hAnsi="Times New Roman"/>
                <w:color w:val="000000" w:themeColor="text1"/>
                <w:sz w:val="24"/>
                <w:lang w:val="en-US" w:eastAsia="zh-CN"/>
                <w14:textFill>
                  <w14:solidFill>
                    <w14:schemeClr w14:val="tx1"/>
                  </w14:solidFill>
                </w14:textFill>
              </w:rPr>
              <w:t>10</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0和下午1</w:t>
            </w:r>
            <w:r>
              <w:rPr>
                <w:rFonts w:hint="eastAsia" w:ascii="Times New Roman" w:hAnsi="Times New Roman"/>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0，为</w:t>
            </w:r>
            <w:r>
              <w:rPr>
                <w:rFonts w:hint="eastAsia"/>
                <w:color w:val="000000" w:themeColor="text1"/>
                <w:sz w:val="24"/>
                <w:lang w:val="en-US" w:eastAsia="zh-CN"/>
                <w14:textFill>
                  <w14:solidFill>
                    <w14:schemeClr w14:val="tx1"/>
                  </w14:solidFill>
                </w14:textFill>
              </w:rPr>
              <w:t>406</w:t>
            </w:r>
            <w:r>
              <w:rPr>
                <w:rFonts w:ascii="Times New Roman" w:hAnsi="Times New Roman"/>
                <w:color w:val="000000" w:themeColor="text1"/>
                <w:sz w:val="24"/>
                <w14:textFill>
                  <w14:solidFill>
                    <w14:schemeClr w14:val="tx1"/>
                  </w14:solidFill>
                </w14:textFill>
              </w:rPr>
              <w:t>m，影响方向为</w:t>
            </w:r>
            <w:r>
              <w:rPr>
                <w:rFonts w:hint="eastAsia" w:ascii="Times New Roman" w:hAnsi="Times New Roman"/>
                <w:color w:val="000000" w:themeColor="text1"/>
                <w:sz w:val="24"/>
                <w:lang w:val="en-US" w:eastAsia="zh-CN"/>
                <w14:textFill>
                  <w14:solidFill>
                    <w14:schemeClr w14:val="tx1"/>
                  </w14:solidFill>
                </w14:textFill>
              </w:rPr>
              <w:t>风机南北轴线</w:t>
            </w:r>
            <w:r>
              <w:rPr>
                <w:rFonts w:hint="default" w:ascii="Times New Roman" w:hAnsi="Times New Roman" w:cs="Times New Roman"/>
                <w:color w:val="000000" w:themeColor="text1"/>
                <w:sz w:val="24"/>
                <w:lang w:val="en-US" w:eastAsia="zh-CN"/>
                <w14:textFill>
                  <w14:solidFill>
                    <w14:schemeClr w14:val="tx1"/>
                  </w14:solidFill>
                </w14:textFill>
              </w:rPr>
              <w:t>22.5°和-22.5°</w:t>
            </w:r>
            <w:r>
              <w:rPr>
                <w:rFonts w:hint="eastAsia" w:ascii="Times New Roman" w:hAnsi="Times New Roman"/>
                <w:color w:val="000000" w:themeColor="text1"/>
                <w:sz w:val="24"/>
                <w:lang w:val="en-US" w:eastAsia="zh-CN"/>
                <w14:textFill>
                  <w14:solidFill>
                    <w14:schemeClr w14:val="tx1"/>
                  </w14:solidFill>
                </w14:textFill>
              </w:rPr>
              <w:t>两个方向</w:t>
            </w:r>
            <w:r>
              <w:rPr>
                <w:rFonts w:ascii="Times New Roman" w:hAnsi="Times New Roman"/>
                <w:color w:val="000000" w:themeColor="text1"/>
                <w:sz w:val="24"/>
                <w14:textFill>
                  <w14:solidFill>
                    <w14:schemeClr w14:val="tx1"/>
                  </w14:solidFill>
                </w14:textFill>
              </w:rPr>
              <w:t>。第二长度的光影出现在上午1</w:t>
            </w:r>
            <w:r>
              <w:rPr>
                <w:rFonts w:hint="eastAsia" w:ascii="Times New Roman" w:hAnsi="Times New Roman"/>
                <w:color w:val="000000" w:themeColor="text1"/>
                <w:sz w:val="24"/>
                <w:lang w:val="en-US" w:eastAsia="zh-CN"/>
                <w14:textFill>
                  <w14:solidFill>
                    <w14:schemeClr w14:val="tx1"/>
                  </w14:solidFill>
                </w14:textFill>
              </w:rPr>
              <w:t>1</w:t>
            </w:r>
            <w:r>
              <w:rPr>
                <w:rFonts w:ascii="Times New Roman" w:hAnsi="Times New Roman"/>
                <w:color w:val="000000" w:themeColor="text1"/>
                <w:sz w:val="24"/>
                <w14:textFill>
                  <w14:solidFill>
                    <w14:schemeClr w14:val="tx1"/>
                  </w14:solidFill>
                </w14:textFill>
              </w:rPr>
              <w:t>:00和</w:t>
            </w:r>
            <w:r>
              <w:rPr>
                <w:rFonts w:hint="eastAsia" w:ascii="Times New Roman" w:hAnsi="Times New Roman"/>
                <w:color w:val="000000" w:themeColor="text1"/>
                <w:sz w:val="24"/>
                <w:lang w:val="en-US" w:eastAsia="zh-CN"/>
                <w14:textFill>
                  <w14:solidFill>
                    <w14:schemeClr w14:val="tx1"/>
                  </w14:solidFill>
                </w14:textFill>
              </w:rPr>
              <w:t>下午</w:t>
            </w:r>
            <w:r>
              <w:rPr>
                <w:rFonts w:ascii="Times New Roman" w:hAnsi="Times New Roman"/>
                <w:color w:val="000000" w:themeColor="text1"/>
                <w:sz w:val="24"/>
                <w14:textFill>
                  <w14:solidFill>
                    <w14:schemeClr w14:val="tx1"/>
                  </w14:solidFill>
                </w14:textFill>
              </w:rPr>
              <w:t>1</w:t>
            </w:r>
            <w:r>
              <w:rPr>
                <w:rFonts w:hint="eastAsia" w:ascii="Times New Roman" w:hAnsi="Times New Roman"/>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:00，光影长度</w:t>
            </w:r>
            <w:r>
              <w:rPr>
                <w:rFonts w:hint="eastAsia"/>
                <w:color w:val="000000" w:themeColor="text1"/>
                <w:sz w:val="24"/>
                <w:lang w:val="en-US" w:eastAsia="zh-CN"/>
                <w14:textFill>
                  <w14:solidFill>
                    <w14:schemeClr w14:val="tx1"/>
                  </w14:solidFill>
                </w14:textFill>
              </w:rPr>
              <w:t>373</w:t>
            </w:r>
            <w:r>
              <w:rPr>
                <w:rFonts w:ascii="Times New Roman" w:hAnsi="Times New Roman"/>
                <w:color w:val="000000" w:themeColor="text1"/>
                <w:sz w:val="24"/>
                <w14:textFill>
                  <w14:solidFill>
                    <w14:schemeClr w14:val="tx1"/>
                  </w14:solidFill>
                </w14:textFill>
              </w:rPr>
              <w:t>m，影响方向为</w:t>
            </w:r>
            <w:r>
              <w:rPr>
                <w:rFonts w:hint="eastAsia" w:ascii="Times New Roman" w:hAnsi="Times New Roman"/>
                <w:color w:val="000000" w:themeColor="text1"/>
                <w:sz w:val="24"/>
                <w:lang w:val="en-US" w:eastAsia="zh-CN"/>
                <w14:textFill>
                  <w14:solidFill>
                    <w14:schemeClr w14:val="tx1"/>
                  </w14:solidFill>
                </w14:textFill>
              </w:rPr>
              <w:t>风机南北轴线</w:t>
            </w:r>
            <w:r>
              <w:rPr>
                <w:rFonts w:hint="eastAsia" w:ascii="Times New Roman" w:hAnsi="Times New Roman"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lang w:val="en-US" w:eastAsia="zh-CN"/>
                <w14:textFill>
                  <w14:solidFill>
                    <w14:schemeClr w14:val="tx1"/>
                  </w14:solidFill>
                </w14:textFill>
              </w:rPr>
              <w:t>5°和-</w:t>
            </w:r>
            <w:r>
              <w:rPr>
                <w:rFonts w:hint="eastAsia" w:ascii="Times New Roman" w:hAnsi="Times New Roman"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lang w:val="en-US" w:eastAsia="zh-CN"/>
                <w14:textFill>
                  <w14:solidFill>
                    <w14:schemeClr w14:val="tx1"/>
                  </w14:solidFill>
                </w14:textFill>
              </w:rPr>
              <w:t>5°</w:t>
            </w:r>
            <w:r>
              <w:rPr>
                <w:rFonts w:hint="eastAsia" w:ascii="Times New Roman" w:hAnsi="Times New Roman"/>
                <w:color w:val="000000" w:themeColor="text1"/>
                <w:sz w:val="24"/>
                <w:lang w:val="en-US" w:eastAsia="zh-CN"/>
                <w14:textFill>
                  <w14:solidFill>
                    <w14:schemeClr w14:val="tx1"/>
                  </w14:solidFill>
                </w14:textFill>
              </w:rPr>
              <w:t>两个方向</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上午11</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30和下午12</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30的光影长度为</w:t>
            </w:r>
            <w:r>
              <w:rPr>
                <w:rFonts w:hint="eastAsia"/>
                <w:color w:val="000000" w:themeColor="text1"/>
                <w:sz w:val="24"/>
                <w:lang w:val="en-US" w:eastAsia="zh-CN"/>
                <w14:textFill>
                  <w14:solidFill>
                    <w14:schemeClr w14:val="tx1"/>
                  </w14:solidFill>
                </w14:textFill>
              </w:rPr>
              <w:t>355</w:t>
            </w:r>
            <w:r>
              <w:rPr>
                <w:rFonts w:hint="eastAsia" w:ascii="Times New Roman" w:hAnsi="Times New Roman"/>
                <w:color w:val="000000" w:themeColor="text1"/>
                <w:sz w:val="24"/>
                <w:lang w:val="en-US" w:eastAsia="zh-CN"/>
                <w14:textFill>
                  <w14:solidFill>
                    <w14:schemeClr w14:val="tx1"/>
                  </w14:solidFill>
                </w14:textFill>
              </w:rPr>
              <w:t>m，</w:t>
            </w:r>
            <w:r>
              <w:rPr>
                <w:rFonts w:ascii="Times New Roman" w:hAnsi="Times New Roman"/>
                <w:color w:val="000000" w:themeColor="text1"/>
                <w:sz w:val="24"/>
                <w14:textFill>
                  <w14:solidFill>
                    <w14:schemeClr w14:val="tx1"/>
                  </w14:solidFill>
                </w14:textFill>
              </w:rPr>
              <w:t>影响方向为</w:t>
            </w:r>
            <w:r>
              <w:rPr>
                <w:rFonts w:hint="eastAsia" w:ascii="Times New Roman" w:hAnsi="Times New Roman"/>
                <w:color w:val="000000" w:themeColor="text1"/>
                <w:sz w:val="24"/>
                <w:lang w:val="en-US" w:eastAsia="zh-CN"/>
                <w14:textFill>
                  <w14:solidFill>
                    <w14:schemeClr w14:val="tx1"/>
                  </w14:solidFill>
                </w14:textFill>
              </w:rPr>
              <w:t>风机南北轴线7.5</w:t>
            </w:r>
            <w:r>
              <w:rPr>
                <w:rFonts w:hint="default" w:ascii="Times New Roman" w:hAnsi="Times New Roman"/>
                <w:color w:val="000000" w:themeColor="text1"/>
                <w:sz w:val="24"/>
                <w:lang w:val="en-US" w:eastAsia="zh-CN"/>
                <w14:textFill>
                  <w14:solidFill>
                    <w14:schemeClr w14:val="tx1"/>
                  </w14:solidFill>
                </w14:textFill>
              </w:rPr>
              <w:t>°和-</w:t>
            </w:r>
            <w:r>
              <w:rPr>
                <w:rFonts w:hint="eastAsia" w:ascii="Times New Roman" w:hAnsi="Times New Roman"/>
                <w:color w:val="000000" w:themeColor="text1"/>
                <w:sz w:val="24"/>
                <w:lang w:val="en-US" w:eastAsia="zh-CN"/>
                <w14:textFill>
                  <w14:solidFill>
                    <w14:schemeClr w14:val="tx1"/>
                  </w14:solidFill>
                </w14:textFill>
              </w:rPr>
              <w:t>7.5</w:t>
            </w:r>
            <w:r>
              <w:rPr>
                <w:rFonts w:hint="default" w:ascii="Times New Roman" w:hAnsi="Times New Roman"/>
                <w:color w:val="000000" w:themeColor="text1"/>
                <w:sz w:val="24"/>
                <w:lang w:val="en-US"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两个方向。正午12:00的光影长度为</w:t>
            </w:r>
            <w:r>
              <w:rPr>
                <w:rFonts w:hint="eastAsia"/>
                <w:color w:val="000000" w:themeColor="text1"/>
                <w:sz w:val="24"/>
                <w:lang w:val="en-US" w:eastAsia="zh-CN"/>
                <w14:textFill>
                  <w14:solidFill>
                    <w14:schemeClr w14:val="tx1"/>
                  </w14:solidFill>
                </w14:textFill>
              </w:rPr>
              <w:t>349</w:t>
            </w:r>
            <w:r>
              <w:rPr>
                <w:rFonts w:hint="eastAsia" w:ascii="Times New Roman" w:hAnsi="Times New Roman"/>
                <w:color w:val="000000" w:themeColor="text1"/>
                <w:sz w:val="24"/>
                <w:lang w:val="en-US" w:eastAsia="zh-CN"/>
                <w14:textFill>
                  <w14:solidFill>
                    <w14:schemeClr w14:val="tx1"/>
                  </w14:solidFill>
                </w14:textFill>
              </w:rPr>
              <w:t>m。</w:t>
            </w:r>
          </w:p>
          <w:p>
            <w:pPr>
              <w:keepNext w:val="0"/>
              <w:keepLines w:val="0"/>
              <w:pageBreakBefore w:val="0"/>
              <w:kinsoku/>
              <w:wordWrap/>
              <w:overflowPunct/>
              <w:topLinePunct w:val="0"/>
              <w:bidi w:val="0"/>
              <w:snapToGrid/>
              <w:spacing w:line="360" w:lineRule="auto"/>
              <w:ind w:firstLine="420"/>
              <w:textAlignment w:val="auto"/>
              <w:rPr>
                <w:rFonts w:ascii="宋体" w:hAnsi="宋体" w:cs="宋体"/>
                <w:bCs/>
                <w:color w:val="000000" w:themeColor="text1"/>
                <w:sz w:val="24"/>
                <w:szCs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对照风电场范围内敏感目标的分布情况，本项目风机光影范围内无敏感目标分布，因此，风机光影对周围村庄的影响较小。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noWrap w:val="0"/>
            <w:vAlign w:val="center"/>
          </w:tcPr>
          <w:p>
            <w:pPr>
              <w:pStyle w:val="15"/>
              <w:keepNext w:val="0"/>
              <w:keepLines w:val="0"/>
              <w:pageBreakBefore w:val="0"/>
              <w:kinsoku/>
              <w:wordWrap/>
              <w:overflowPunct/>
              <w:topLinePunct w:val="0"/>
              <w:bidi w:val="0"/>
              <w:adjustRightInd w:val="0"/>
              <w:snapToGrid/>
              <w:spacing w:before="0" w:beforeAutospacing="0" w:after="0" w:afterAutospacing="0"/>
              <w:jc w:val="center"/>
              <w:textAlignment w:val="auto"/>
              <w:rPr>
                <w:rFonts w:cs="宋体"/>
                <w:bCs/>
                <w:color w:val="000000" w:themeColor="text1"/>
                <w:kern w:val="2"/>
                <w:sz w:val="24"/>
                <w:szCs w:val="24"/>
                <w14:textFill>
                  <w14:solidFill>
                    <w14:schemeClr w14:val="tx1"/>
                  </w14:solidFill>
                </w14:textFill>
              </w:rPr>
            </w:pPr>
            <w:r>
              <w:rPr>
                <w:rFonts w:hint="eastAsia" w:cs="宋体"/>
                <w:bCs/>
                <w:color w:val="000000" w:themeColor="text1"/>
                <w:kern w:val="2"/>
                <w:sz w:val="24"/>
                <w:szCs w:val="24"/>
                <w14:textFill>
                  <w14:solidFill>
                    <w14:schemeClr w14:val="tx1"/>
                  </w14:solidFill>
                </w14:textFill>
              </w:rPr>
              <w:t>选址选线环境合理性分析</w:t>
            </w:r>
          </w:p>
        </w:tc>
        <w:tc>
          <w:tcPr>
            <w:tcW w:w="8363"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本项目位于</w:t>
            </w:r>
            <w:r>
              <w:rPr>
                <w:rFonts w:hint="eastAsia"/>
                <w:color w:val="000000" w:themeColor="text1"/>
                <w:sz w:val="24"/>
                <w:lang w:val="en-US" w:eastAsia="zh-CN"/>
                <w14:textFill>
                  <w14:solidFill>
                    <w14:schemeClr w14:val="tx1"/>
                  </w14:solidFill>
                </w14:textFill>
              </w:rPr>
              <w:t>澄城县王庄镇</w:t>
            </w:r>
            <w:r>
              <w:rPr>
                <w:rFonts w:ascii="Times New Roman" w:hAnsi="Times New Roman"/>
                <w:color w:val="000000" w:themeColor="text1"/>
                <w:sz w:val="24"/>
                <w14:textFill>
                  <w14:solidFill>
                    <w14:schemeClr w14:val="tx1"/>
                  </w14:solidFill>
                </w14:textFill>
              </w:rPr>
              <w:t>，风电场拐点范围内分布着部分村庄，风机</w:t>
            </w:r>
            <w:r>
              <w:rPr>
                <w:rFonts w:hint="eastAsia"/>
                <w:color w:val="000000" w:themeColor="text1"/>
                <w:sz w:val="24"/>
                <w:lang w:val="en-US" w:eastAsia="zh-CN"/>
                <w14:textFill>
                  <w14:solidFill>
                    <w14:schemeClr w14:val="tx1"/>
                  </w14:solidFill>
                </w14:textFill>
              </w:rPr>
              <w:t>和35kV开关站</w:t>
            </w:r>
            <w:r>
              <w:rPr>
                <w:rFonts w:ascii="Times New Roman" w:hAnsi="Times New Roman"/>
                <w:color w:val="000000" w:themeColor="text1"/>
                <w:sz w:val="24"/>
                <w14:textFill>
                  <w14:solidFill>
                    <w14:schemeClr w14:val="tx1"/>
                  </w14:solidFill>
                </w14:textFill>
              </w:rPr>
              <w:t>在选址布置时已考虑避让，300m范围内无村庄等敏感保护目标。风电进场道路及部分场内道路均可利用周边乡道、村道和农耕路，新建和改建部分场内道路。本项目选址不在秦岭保护区范围内，不在林地、湿地和自然保护区范围内，项目周边亦无军用设施及文物保护单位，本项目风电场建设区域不在鸟类迁徙通道上，不会对鸟类迁徙造成不利影响。</w:t>
            </w:r>
            <w:r>
              <w:rPr>
                <w:rFonts w:hint="eastAsia"/>
                <w:color w:val="000000" w:themeColor="text1"/>
                <w:sz w:val="24"/>
                <w:lang w:val="en-US" w:eastAsia="zh-CN"/>
                <w14:textFill>
                  <w14:solidFill>
                    <w14:schemeClr w14:val="tx1"/>
                  </w14:solidFill>
                </w14:textFill>
              </w:rPr>
              <w:t>本项目施工期和运营期产生的环境影响，采取本次环评提出的各项环保措施后，对大气环境、水环境、声环境、生态环境影响较小。</w:t>
            </w:r>
            <w:r>
              <w:rPr>
                <w:rFonts w:ascii="Times New Roman" w:hAnsi="Times New Roman"/>
                <w:color w:val="000000" w:themeColor="text1"/>
                <w:sz w:val="24"/>
                <w14:textFill>
                  <w14:solidFill>
                    <w14:schemeClr w14:val="tx1"/>
                  </w14:solidFill>
                </w14:textFill>
              </w:rPr>
              <w:t>因此，</w:t>
            </w:r>
            <w:r>
              <w:rPr>
                <w:rFonts w:hint="eastAsia"/>
                <w:color w:val="000000" w:themeColor="text1"/>
                <w:sz w:val="24"/>
                <w:lang w:val="en-US" w:eastAsia="zh-CN"/>
                <w14:textFill>
                  <w14:solidFill>
                    <w14:schemeClr w14:val="tx1"/>
                  </w14:solidFill>
                </w14:textFill>
              </w:rPr>
              <w:t>本</w:t>
            </w:r>
            <w:r>
              <w:rPr>
                <w:rFonts w:ascii="Times New Roman" w:hAnsi="Times New Roman"/>
                <w:color w:val="000000" w:themeColor="text1"/>
                <w:sz w:val="24"/>
                <w14:textFill>
                  <w14:solidFill>
                    <w14:schemeClr w14:val="tx1"/>
                  </w14:solidFill>
                </w14:textFill>
              </w:rPr>
              <w:t>项目选址合理。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Cs/>
                <w:color w:val="000000" w:themeColor="text1"/>
                <w:sz w:val="24"/>
                <w:szCs w:val="24"/>
                <w14:textFill>
                  <w14:solidFill>
                    <w14:schemeClr w14:val="tx1"/>
                  </w14:solidFill>
                </w14:textFill>
              </w:rPr>
            </w:pPr>
          </w:p>
        </w:tc>
      </w:tr>
    </w:tbl>
    <w:p>
      <w:pPr>
        <w:pStyle w:val="15"/>
        <w:jc w:val="center"/>
        <w:rPr>
          <w:rFonts w:ascii="黑体" w:hAnsi="黑体" w:eastAsia="黑体"/>
          <w:snapToGrid w:val="0"/>
          <w:color w:val="000000" w:themeColor="text1"/>
          <w:sz w:val="36"/>
          <w:szCs w:val="36"/>
          <w14:textFill>
            <w14:solidFill>
              <w14:schemeClr w14:val="tx1"/>
            </w14:solidFill>
          </w14:textFill>
        </w:rPr>
        <w:sectPr>
          <w:pgSz w:w="11906" w:h="16838"/>
          <w:pgMar w:top="1440" w:right="1800" w:bottom="1440" w:left="1800" w:header="851" w:footer="1077" w:gutter="0"/>
          <w:pgBorders>
            <w:top w:val="none" w:sz="0" w:space="0"/>
            <w:left w:val="none" w:sz="0" w:space="0"/>
            <w:bottom w:val="none" w:sz="0" w:space="0"/>
            <w:right w:val="none" w:sz="0" w:space="0"/>
          </w:pgBorders>
          <w:cols w:space="425" w:num="1"/>
          <w:docGrid w:linePitch="312" w:charSpace="0"/>
        </w:sectPr>
      </w:pPr>
    </w:p>
    <w:p>
      <w:pPr>
        <w:pStyle w:val="15"/>
        <w:adjustRightInd w:val="0"/>
        <w:snapToGrid w:val="0"/>
        <w:spacing w:before="0" w:beforeAutospacing="0" w:after="0" w:afterAutospacing="0" w:line="14" w:lineRule="auto"/>
        <w:jc w:val="center"/>
        <w:outlineLvl w:val="0"/>
        <w:rPr>
          <w:rFonts w:hint="eastAsia" w:ascii="黑体" w:hAnsi="黑体" w:eastAsia="黑体"/>
          <w:snapToGrid w:val="0"/>
          <w:color w:val="000000" w:themeColor="text1"/>
          <w:sz w:val="30"/>
          <w:szCs w:val="30"/>
          <w14:textFill>
            <w14:solidFill>
              <w14:schemeClr w14:val="tx1"/>
            </w14:solidFill>
          </w14:textFill>
        </w:rPr>
      </w:pPr>
    </w:p>
    <w:p>
      <w:pPr>
        <w:pStyle w:val="15"/>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五、主要生态环境保护措施</w:t>
      </w:r>
    </w:p>
    <w:tbl>
      <w:tblPr>
        <w:tblStyle w:val="18"/>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753" w:type="dxa"/>
            <w:noWrap w:val="0"/>
            <w:tcMar>
              <w:left w:w="28" w:type="dxa"/>
              <w:right w:w="28" w:type="dxa"/>
            </w:tcMar>
            <w:vAlign w:val="center"/>
          </w:tcPr>
          <w:p>
            <w:pPr>
              <w:adjustRightInd w:val="0"/>
              <w:snapToGrid w:val="0"/>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pacing w:val="10"/>
                <w:sz w:val="24"/>
                <w:szCs w:val="24"/>
                <w14:textFill>
                  <w14:solidFill>
                    <w14:schemeClr w14:val="tx1"/>
                  </w14:solidFill>
                </w14:textFill>
              </w:rPr>
              <w:t>施工期生态环境保护措施</w:t>
            </w:r>
          </w:p>
        </w:tc>
        <w:tc>
          <w:tcPr>
            <w:tcW w:w="8457" w:type="dxa"/>
            <w:noWrap w:val="0"/>
            <w:vAlign w:val="top"/>
          </w:tcPr>
          <w:p>
            <w:p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1、大气环境保护措施</w:t>
            </w:r>
          </w:p>
          <w:p>
            <w:pPr>
              <w:spacing w:line="360" w:lineRule="auto"/>
              <w:ind w:firstLine="420"/>
              <w:rPr>
                <w:rFonts w:ascii="Times New Roman" w:hAnsi="Times New Roman"/>
                <w:color w:val="FF0000"/>
                <w:sz w:val="24"/>
              </w:rPr>
            </w:pPr>
            <w:r>
              <w:rPr>
                <w:rFonts w:ascii="Times New Roman" w:hAnsi="Times New Roman"/>
                <w:color w:val="FF0000"/>
                <w:sz w:val="24"/>
              </w:rPr>
              <w:t>施工过程中产生的大气污染物主要是施工扬尘</w:t>
            </w:r>
            <w:r>
              <w:rPr>
                <w:rFonts w:hint="eastAsia"/>
                <w:color w:val="FF0000"/>
                <w:sz w:val="24"/>
                <w:lang w:val="en-US" w:eastAsia="zh-CN"/>
              </w:rPr>
              <w:t>和</w:t>
            </w:r>
            <w:r>
              <w:rPr>
                <w:rFonts w:ascii="Times New Roman" w:hAnsi="Times New Roman"/>
                <w:color w:val="FF0000"/>
                <w:sz w:val="24"/>
              </w:rPr>
              <w:t>施工机械废气。</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为了将项目的建设影响降到最低，为了减少项目在建设过程中对周围环境空气的影响，建设单位在施工过程中应采取以下措施：</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①土石方挖掘完后，要及时回填，剩余土石方应及时运到需要填方的低洼处，同时防止水土流失；回填土方时，对干燥表土要适时洒水，防止粉尘飞扬；运输车辆应实行限速行驶（不超过15km/h为宜），以防止扬尘污染。</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②要加强机械、车辆的管理和维护保养，尽量减少因机械、车辆状况不佳造成的空气污染。</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③易飞扬的细颗粒散体材料，应严密遮盖，运输时应采取良好的密封状态运输，装卸时采取有效措施，减少扬尘。</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④建筑材料堆场应设置挡风墙，并采取适当的洒水和覆盖等防尘措施。</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⑤加强施工管理，避免在大风天施工作业，尤其是引起地面扰动的作业。对施工场地内松散、干涸的表土，应经常洒水防尘；对施工及运输道路的路面进行硬化，以减少道路扬尘。</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⑥堆放的施工土料要用遮盖物盖住，避免风吹起尘；如不得不敞开堆放，应对其进行洒水，提高表面含水率，起到抑尘效果。</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根据国务院《关于印发打赢蓝天保卫战三年行动计划的通知》国发[2018]22号》、《陕西省人民政府关于印发铁腕治霾打赢蓝天保卫战三年行动方案（2018-2020年）的通知》陕政发[2018]29号、《渭南市铁腕治霾打赢蓝天保卫战三年行动方案（2018-2020年）》、《渭南市临渭区铁腕治霾打赢蓝天保卫战三年行动方案（2018-2020年）》、《陕西省蓝天保卫战2020年工作方案》、《渭南市蓝天保卫战2020年工作方案》，本项目施工过程中应强化建筑工地扬尘控制措施。加强施工扬尘监管，积极推进绿色施工，绿色运营。根据《陕西省建筑施工扬尘治理行动方案》和《陕西省建筑施工扬尘治理措施16条》和《陕西省重污染天气应急预案》，项目施工过程中，应执行下列施工扬尘治理措施：</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①项目场内道路施工粉尘主要为路面平整过程产生的粉尘，在面向村庄一侧采取围挡措施，分段施工，在施工结束后立即撤除围挡，保证周边居民的正常通行。</w:t>
            </w:r>
          </w:p>
          <w:p>
            <w:pPr>
              <w:spacing w:line="360" w:lineRule="auto"/>
              <w:ind w:firstLine="420"/>
              <w:rPr>
                <w:rFonts w:hint="eastAsia" w:ascii="Times New Roman" w:hAnsi="Times New Roman" w:eastAsia="宋体"/>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②施工组织设计中，必须制定施工现场扬尘预防治理专项方案，并指定专人负责落实，无专项方案严禁开工。</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③施工层建筑垃圾必须采用封闭方式及时清运，严禁凌空抛掷。</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④工程项目部必须对进场所有作业人员进行工地扬尘预防治理知识培训，未经培训严禁上岗。</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⑤施工现场必须建立洒水清扫制度或雾化降尘措施，并有专人负责。</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⑥施工现场出入口必须配备车辆冲洗设施，严禁车辆带泥出场。</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⑦施工现场集中堆放的土方必须覆盖，严禁裸露。</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⑧施工现场运送土方、渣土的车辆必须封闭或遮盖，严禁沿路遗漏或抛撒。</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⑨施工现场必须设置固定垃圾存放点，垃圾应分类集中堆放并覆盖，及时清运，严禁焚烧、下埋和随意丢弃。</w:t>
            </w:r>
          </w:p>
          <w:p>
            <w:p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2、</w:t>
            </w:r>
            <w:r>
              <w:rPr>
                <w:rFonts w:hint="eastAsia"/>
                <w:b/>
                <w:bCs/>
                <w:color w:val="000000" w:themeColor="text1"/>
                <w:sz w:val="24"/>
                <w:lang w:val="en-US" w:eastAsia="zh-CN"/>
                <w14:textFill>
                  <w14:solidFill>
                    <w14:schemeClr w14:val="tx1"/>
                  </w14:solidFill>
                </w14:textFill>
              </w:rPr>
              <w:t>地表</w:t>
            </w:r>
            <w:r>
              <w:rPr>
                <w:rFonts w:hint="eastAsia" w:eastAsia="宋体"/>
                <w:b/>
                <w:bCs/>
                <w:color w:val="000000" w:themeColor="text1"/>
                <w:sz w:val="24"/>
                <w:lang w:val="en-US" w:eastAsia="zh-CN"/>
                <w14:textFill>
                  <w14:solidFill>
                    <w14:schemeClr w14:val="tx1"/>
                  </w14:solidFill>
                </w14:textFill>
              </w:rPr>
              <w:t>水环境保护措施</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生产废水</w:t>
            </w:r>
            <w:r>
              <w:rPr>
                <w:rFonts w:ascii="Times New Roman" w:hAnsi="Times New Roman"/>
                <w:color w:val="000000" w:themeColor="text1"/>
                <w:sz w:val="24"/>
                <w:szCs w:val="28"/>
                <w14:textFill>
                  <w14:solidFill>
                    <w14:schemeClr w14:val="tx1"/>
                  </w14:solidFill>
                </w14:textFill>
              </w:rPr>
              <w:t>经沉淀池（</w:t>
            </w:r>
            <w:r>
              <w:rPr>
                <w:rFonts w:hint="eastAsia" w:eastAsia="黑体"/>
                <w:color w:val="000000" w:themeColor="text1"/>
                <w:sz w:val="24"/>
                <w:szCs w:val="28"/>
                <w:lang w:val="en-US" w:eastAsia="zh-CN"/>
                <w14:textFill>
                  <w14:solidFill>
                    <w14:schemeClr w14:val="tx1"/>
                  </w14:solidFill>
                </w14:textFill>
              </w:rPr>
              <w:t>8</w:t>
            </w:r>
            <w:r>
              <w:rPr>
                <w:rFonts w:ascii="Times New Roman" w:hAnsi="Times New Roman" w:eastAsia="黑体"/>
                <w:color w:val="000000" w:themeColor="text1"/>
                <w:sz w:val="24"/>
                <w14:textFill>
                  <w14:solidFill>
                    <w14:schemeClr w14:val="tx1"/>
                  </w14:solidFill>
                </w14:textFill>
              </w:rPr>
              <w:t>m</w:t>
            </w:r>
            <w:r>
              <w:rPr>
                <w:rFonts w:ascii="Times New Roman" w:hAnsi="Times New Roman" w:eastAsia="黑体"/>
                <w:color w:val="000000" w:themeColor="text1"/>
                <w:sz w:val="24"/>
                <w:vertAlign w:val="superscript"/>
                <w14:textFill>
                  <w14:solidFill>
                    <w14:schemeClr w14:val="tx1"/>
                  </w14:solidFill>
                </w14:textFill>
              </w:rPr>
              <w:t>3</w:t>
            </w:r>
            <w:r>
              <w:rPr>
                <w:rFonts w:ascii="Times New Roman" w:hAnsi="Times New Roman"/>
                <w:color w:val="000000" w:themeColor="text1"/>
                <w:sz w:val="24"/>
                <w:szCs w:val="28"/>
                <w14:textFill>
                  <w14:solidFill>
                    <w14:schemeClr w14:val="tx1"/>
                  </w14:solidFill>
                </w14:textFill>
              </w:rPr>
              <w:t>）处理后，可用于施工场地内冲洗车辆及洒水抑尘，不外排</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eastAsia="zh-CN"/>
                <w14:textFill>
                  <w14:solidFill>
                    <w14:schemeClr w14:val="tx1"/>
                  </w14:solidFill>
                </w14:textFill>
              </w:rPr>
              <w:t>环保厕所</w:t>
            </w:r>
            <w:r>
              <w:rPr>
                <w:rFonts w:ascii="Times New Roman" w:hAnsi="Times New Roman"/>
                <w:color w:val="000000" w:themeColor="text1"/>
                <w:sz w:val="24"/>
                <w14:textFill>
                  <w14:solidFill>
                    <w14:schemeClr w14:val="tx1"/>
                  </w14:solidFill>
                </w14:textFill>
              </w:rPr>
              <w:t>定期清掏用于周围农田施肥，其它生活盥洗废水用于洒水抑尘，对项目区域的环境质量影响较小</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该措施可行</w:t>
            </w:r>
            <w:r>
              <w:rPr>
                <w:rFonts w:ascii="Times New Roman" w:hAnsi="Times New Roman"/>
                <w:color w:val="000000" w:themeColor="text1"/>
                <w:sz w:val="24"/>
                <w14:textFill>
                  <w14:solidFill>
                    <w14:schemeClr w14:val="tx1"/>
                  </w14:solidFill>
                </w14:textFill>
              </w:rPr>
              <w:t>。</w:t>
            </w:r>
          </w:p>
          <w:p>
            <w:p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3、声环境保护措施</w:t>
            </w:r>
          </w:p>
          <w:p>
            <w:pPr>
              <w:widowControl/>
              <w:spacing w:line="360" w:lineRule="auto"/>
              <w:ind w:firstLine="480" w:firstLineChars="200"/>
              <w:jc w:val="left"/>
              <w:rPr>
                <w:rFonts w:ascii="Times New Roman" w:hAnsi="Times New Roman"/>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本次评价</w:t>
            </w:r>
            <w:r>
              <w:rPr>
                <w:rFonts w:hint="eastAsia" w:ascii="Times New Roman" w:hAnsi="Times New Roman"/>
                <w:color w:val="000000" w:themeColor="text1"/>
                <w:sz w:val="24"/>
                <w:szCs w:val="24"/>
                <w14:textFill>
                  <w14:solidFill>
                    <w14:schemeClr w14:val="tx1"/>
                  </w14:solidFill>
                </w14:textFill>
              </w:rPr>
              <w:t>提出以下噪声污染控制措施：</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①选择性能良好的施工机械，并注意保养，维持其最低噪声水平。</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②合理安排施工时间，对强噪声设备应避免在夜间作业，尽量安排在白天进行，运输车辆也安排在白天进出，以减轻对施工噪声在夜间的影响。</w:t>
            </w:r>
          </w:p>
          <w:p>
            <w:pPr>
              <w:spacing w:line="360" w:lineRule="auto"/>
              <w:ind w:firstLine="42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③</w:t>
            </w:r>
            <w:r>
              <w:rPr>
                <w:rFonts w:ascii="Times New Roman" w:hAnsi="Times New Roman"/>
                <w:color w:val="000000" w:themeColor="text1"/>
                <w:sz w:val="24"/>
                <w14:textFill>
                  <w14:solidFill>
                    <w14:schemeClr w14:val="tx1"/>
                  </w14:solidFill>
                </w14:textFill>
              </w:rPr>
              <w:t>加强高噪声施工设备的维修管理，保证其正常运行，减少设备非正常运行时所产生的噪声。</w:t>
            </w:r>
          </w:p>
          <w:p>
            <w:pPr>
              <w:spacing w:line="360" w:lineRule="auto"/>
              <w:ind w:firstLine="420"/>
              <w:rPr>
                <w:color w:val="000000" w:themeColor="text1"/>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④</w:t>
            </w:r>
            <w:r>
              <w:rPr>
                <w:rFonts w:ascii="Times New Roman" w:hAnsi="Times New Roman"/>
                <w:color w:val="000000" w:themeColor="text1"/>
                <w:sz w:val="24"/>
                <w14:textFill>
                  <w14:solidFill>
                    <w14:schemeClr w14:val="tx1"/>
                  </w14:solidFill>
                </w14:textFill>
              </w:rPr>
              <w:t>应对车辆行驶时间、行驶路线进行严格控制和管理，注意避开噪声敏感区域和噪声敏感时段，文明行车。</w:t>
            </w:r>
          </w:p>
          <w:p>
            <w:pPr>
              <w:numPr>
                <w:ilvl w:val="0"/>
                <w:numId w:val="0"/>
              </w:num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4、固体废物</w:t>
            </w:r>
            <w:r>
              <w:rPr>
                <w:rFonts w:hint="eastAsia" w:eastAsia="宋体"/>
                <w:b/>
                <w:bCs/>
                <w:color w:val="000000" w:themeColor="text1"/>
                <w:sz w:val="24"/>
                <w:lang w:val="en-US" w:eastAsia="zh-CN"/>
                <w14:textFill>
                  <w14:solidFill>
                    <w14:schemeClr w14:val="tx1"/>
                  </w14:solidFill>
                </w14:textFill>
              </w:rPr>
              <w:t>保护措施</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本项目挖方主要由</w:t>
            </w:r>
            <w:r>
              <w:rPr>
                <w:rFonts w:hint="eastAsia"/>
                <w:color w:val="000000" w:themeColor="text1"/>
                <w:sz w:val="24"/>
                <w:lang w:val="en-US" w:eastAsia="zh-CN"/>
                <w14:textFill>
                  <w14:solidFill>
                    <w14:schemeClr w14:val="tx1"/>
                  </w14:solidFill>
                </w14:textFill>
              </w:rPr>
              <w:t>开关站</w:t>
            </w:r>
            <w:r>
              <w:rPr>
                <w:rFonts w:ascii="Times New Roman" w:hAnsi="Times New Roman"/>
                <w:color w:val="000000" w:themeColor="text1"/>
                <w:sz w:val="24"/>
                <w14:textFill>
                  <w14:solidFill>
                    <w14:schemeClr w14:val="tx1"/>
                  </w14:solidFill>
                </w14:textFill>
              </w:rPr>
              <w:t>，风机和箱变基础、铁塔地基开挖等产生，剩余土方主要用于场地周围绿化覆土或者道路平整，本项目不设弃渣场。各部分土石方应及时安排全部回填，不得在场内随意堆放压占草地及破坏植被。表土就近堆放于道路工程区周边、生产生活区及风机安装平台一角，施工结束后用作绿化覆土。</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施工</w:t>
            </w:r>
            <w:r>
              <w:rPr>
                <w:rFonts w:ascii="Times New Roman" w:hAnsi="Times New Roman"/>
                <w:color w:val="000000" w:themeColor="text1"/>
                <w:sz w:val="23"/>
                <w14:textFill>
                  <w14:solidFill>
                    <w14:schemeClr w14:val="tx1"/>
                  </w14:solidFill>
                </w14:textFill>
              </w:rPr>
              <w:t>生活垃圾由垃圾桶集中收集后，定期拉运到镇上垃圾收集点，由环卫部门统一处理。</w:t>
            </w:r>
          </w:p>
          <w:p>
            <w:pPr>
              <w:spacing w:line="360" w:lineRule="auto"/>
              <w:ind w:firstLine="480" w:firstLineChars="200"/>
              <w:rPr>
                <w:rFonts w:hint="default" w:ascii="Times New Roman" w:hAnsi="Times New Roman"/>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综上所述，</w:t>
            </w:r>
            <w:r>
              <w:rPr>
                <w:rFonts w:hint="eastAsia"/>
                <w:color w:val="000000" w:themeColor="text1"/>
                <w:sz w:val="24"/>
                <w:lang w:val="en-US" w:eastAsia="zh-CN"/>
                <w14:textFill>
                  <w14:solidFill>
                    <w14:schemeClr w14:val="tx1"/>
                  </w14:solidFill>
                </w14:textFill>
              </w:rPr>
              <w:t>施工期固体废物均合理处置，对环境影响较小，措施可行。</w:t>
            </w:r>
          </w:p>
          <w:p>
            <w:pPr>
              <w:numPr>
                <w:ilvl w:val="0"/>
                <w:numId w:val="0"/>
              </w:num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5、生态环境</w:t>
            </w:r>
            <w:r>
              <w:rPr>
                <w:rFonts w:hint="eastAsia" w:eastAsia="宋体"/>
                <w:b/>
                <w:bCs/>
                <w:color w:val="000000" w:themeColor="text1"/>
                <w:sz w:val="24"/>
                <w:lang w:val="en-US" w:eastAsia="zh-CN"/>
                <w14:textFill>
                  <w14:solidFill>
                    <w14:schemeClr w14:val="tx1"/>
                  </w14:solidFill>
                </w14:textFill>
              </w:rPr>
              <w:t>保护措施</w:t>
            </w:r>
          </w:p>
          <w:p>
            <w:pPr>
              <w:spacing w:line="360" w:lineRule="auto"/>
              <w:ind w:firstLine="480" w:firstLineChars="200"/>
              <w:rPr>
                <w:rFonts w:hint="default" w:ascii="Times New Roman" w:hAnsi="Times New Roman"/>
                <w:color w:val="FF0000"/>
                <w:sz w:val="24"/>
                <w:lang w:val="en-US" w:eastAsia="zh-CN"/>
              </w:rPr>
            </w:pPr>
            <w:r>
              <w:rPr>
                <w:rFonts w:hint="eastAsia"/>
                <w:color w:val="FF0000"/>
                <w:sz w:val="24"/>
                <w:lang w:val="en-US" w:eastAsia="zh-CN"/>
              </w:rPr>
              <w:t>施工期生态环境保护措施为对植被、耕地以及各施工区域的生态恢复措施。</w:t>
            </w:r>
          </w:p>
          <w:p>
            <w:pPr>
              <w:spacing w:line="360" w:lineRule="auto"/>
              <w:ind w:firstLine="480" w:firstLineChars="200"/>
              <w:rPr>
                <w:rFonts w:hint="eastAsia"/>
                <w:color w:val="FF0000"/>
                <w:sz w:val="24"/>
                <w:lang w:val="en-US" w:eastAsia="zh-CN"/>
              </w:rPr>
            </w:pPr>
            <w:r>
              <w:rPr>
                <w:rFonts w:hint="eastAsia"/>
                <w:color w:val="FF0000"/>
                <w:sz w:val="24"/>
                <w:lang w:val="en-US" w:eastAsia="zh-CN"/>
              </w:rPr>
              <w:t>（1）植被保护措施</w:t>
            </w:r>
          </w:p>
          <w:p>
            <w:pPr>
              <w:tabs>
                <w:tab w:val="left" w:pos="1380"/>
                <w:tab w:val="left" w:pos="1860"/>
                <w:tab w:val="center" w:pos="4535"/>
                <w:tab w:val="left" w:pos="5985"/>
                <w:tab w:val="left" w:pos="7740"/>
              </w:tabs>
              <w:spacing w:line="360" w:lineRule="auto"/>
              <w:ind w:firstLine="480" w:firstLineChars="200"/>
              <w:rPr>
                <w:rFonts w:ascii="Times New Roman" w:hAnsi="Times New Roman"/>
                <w:color w:val="FF0000"/>
                <w:sz w:val="24"/>
              </w:rPr>
            </w:pPr>
            <w:r>
              <w:rPr>
                <w:rFonts w:hint="eastAsia" w:ascii="Times New Roman" w:hAnsi="Times New Roman"/>
                <w:color w:val="FF0000"/>
                <w:sz w:val="24"/>
                <w:lang w:val="en-US" w:eastAsia="zh-CN"/>
              </w:rPr>
              <w:t>①在排列风力发电机组和设计施工道路时，应尽量避开有树木、植被的地方，减少植被生态环境破坏；对无法避让的林木尽量采取异地种植，以减少对植被的砍伐、损坏。</w:t>
            </w:r>
          </w:p>
          <w:p>
            <w:pPr>
              <w:tabs>
                <w:tab w:val="left" w:pos="1380"/>
                <w:tab w:val="left" w:pos="1860"/>
                <w:tab w:val="center" w:pos="4535"/>
                <w:tab w:val="left" w:pos="5985"/>
                <w:tab w:val="left" w:pos="7740"/>
              </w:tabs>
              <w:spacing w:line="360" w:lineRule="auto"/>
              <w:ind w:firstLine="480" w:firstLineChars="200"/>
              <w:rPr>
                <w:rFonts w:ascii="Times New Roman" w:hAnsi="Times New Roman"/>
                <w:color w:val="FF0000"/>
                <w:sz w:val="24"/>
              </w:rPr>
            </w:pPr>
            <w:r>
              <w:rPr>
                <w:rFonts w:hint="eastAsia" w:ascii="Times New Roman" w:hAnsi="Times New Roman"/>
                <w:color w:val="FF0000"/>
                <w:sz w:val="24"/>
                <w:lang w:val="en-US" w:eastAsia="zh-CN"/>
              </w:rPr>
              <w:t>②制定详细的</w:t>
            </w:r>
            <w:r>
              <w:rPr>
                <w:rFonts w:hint="eastAsia"/>
                <w:color w:val="FF0000"/>
                <w:sz w:val="24"/>
                <w:lang w:val="en-US" w:eastAsia="zh-CN"/>
              </w:rPr>
              <w:t>生态</w:t>
            </w:r>
            <w:r>
              <w:rPr>
                <w:rFonts w:hint="eastAsia" w:ascii="Times New Roman" w:hAnsi="Times New Roman"/>
                <w:color w:val="FF0000"/>
                <w:sz w:val="24"/>
                <w:lang w:val="en-US" w:eastAsia="zh-CN"/>
              </w:rPr>
              <w:t>恢复方案，在施工作业完成后，</w:t>
            </w:r>
            <w:r>
              <w:rPr>
                <w:rFonts w:hint="eastAsia"/>
                <w:color w:val="FF0000"/>
                <w:sz w:val="24"/>
                <w:lang w:val="en-US" w:eastAsia="zh-CN"/>
              </w:rPr>
              <w:t>及时进行生态恢复</w:t>
            </w:r>
            <w:r>
              <w:rPr>
                <w:rFonts w:hint="eastAsia" w:ascii="Times New Roman" w:hAnsi="Times New Roman"/>
                <w:color w:val="FF0000"/>
                <w:sz w:val="24"/>
                <w:lang w:val="en-US" w:eastAsia="zh-CN"/>
              </w:rPr>
              <w:t>。</w:t>
            </w:r>
          </w:p>
          <w:p>
            <w:pPr>
              <w:tabs>
                <w:tab w:val="left" w:pos="1380"/>
                <w:tab w:val="left" w:pos="1860"/>
                <w:tab w:val="center" w:pos="4535"/>
                <w:tab w:val="left" w:pos="5985"/>
                <w:tab w:val="left" w:pos="7740"/>
              </w:tabs>
              <w:spacing w:line="360" w:lineRule="auto"/>
              <w:ind w:firstLine="480" w:firstLineChars="200"/>
              <w:rPr>
                <w:rFonts w:hint="eastAsia" w:ascii="Times New Roman" w:hAnsi="Times New Roman"/>
                <w:color w:val="FF0000"/>
                <w:sz w:val="24"/>
                <w:lang w:val="en-US" w:eastAsia="zh-CN"/>
              </w:rPr>
            </w:pPr>
            <w:r>
              <w:rPr>
                <w:rFonts w:hint="eastAsia" w:ascii="Times New Roman" w:hAnsi="Times New Roman"/>
                <w:color w:val="FF0000"/>
                <w:sz w:val="24"/>
                <w:lang w:val="en-US" w:eastAsia="zh-CN"/>
              </w:rPr>
              <w:t>③加强施工人员生态保护教育，施工过程中尽量减少</w:t>
            </w:r>
            <w:r>
              <w:rPr>
                <w:rFonts w:hint="eastAsia"/>
                <w:color w:val="FF0000"/>
                <w:sz w:val="24"/>
                <w:lang w:val="en-US" w:eastAsia="zh-CN"/>
              </w:rPr>
              <w:t>农作物</w:t>
            </w:r>
            <w:r>
              <w:rPr>
                <w:rFonts w:hint="eastAsia" w:ascii="Times New Roman" w:hAnsi="Times New Roman"/>
                <w:color w:val="FF0000"/>
                <w:sz w:val="24"/>
                <w:lang w:val="en-US" w:eastAsia="zh-CN"/>
              </w:rPr>
              <w:t>破坏，各种施工活动应严格控制在施工区域内，并将临时占地面积控制在最低限度。</w:t>
            </w:r>
          </w:p>
          <w:p>
            <w:pPr>
              <w:spacing w:line="360" w:lineRule="auto"/>
              <w:ind w:firstLine="480" w:firstLineChars="200"/>
              <w:rPr>
                <w:rFonts w:hint="eastAsia"/>
                <w:color w:val="FF0000"/>
                <w:sz w:val="24"/>
                <w:lang w:val="en-US" w:eastAsia="zh-CN"/>
              </w:rPr>
            </w:pPr>
            <w:r>
              <w:rPr>
                <w:rFonts w:hint="eastAsia"/>
                <w:color w:val="FF0000"/>
                <w:sz w:val="24"/>
                <w:lang w:val="en-US" w:eastAsia="zh-CN"/>
              </w:rPr>
              <w:t>（2）耕地保护措施</w:t>
            </w:r>
          </w:p>
          <w:p>
            <w:pPr>
              <w:tabs>
                <w:tab w:val="left" w:pos="1380"/>
                <w:tab w:val="left" w:pos="1860"/>
                <w:tab w:val="center" w:pos="4535"/>
                <w:tab w:val="left" w:pos="5985"/>
                <w:tab w:val="left" w:pos="7740"/>
              </w:tabs>
              <w:spacing w:line="360" w:lineRule="auto"/>
              <w:ind w:firstLine="480" w:firstLineChars="200"/>
              <w:rPr>
                <w:rFonts w:ascii="Times New Roman" w:hAnsi="Times New Roman"/>
                <w:color w:val="FF0000"/>
                <w:sz w:val="24"/>
              </w:rPr>
            </w:pPr>
            <w:r>
              <w:rPr>
                <w:rFonts w:ascii="Times New Roman" w:hAnsi="Times New Roman"/>
                <w:color w:val="FF0000"/>
                <w:sz w:val="24"/>
              </w:rPr>
              <w:t>为避免项目区周边分布的耕地受到损害，需要在施工中采取以下措施：</w:t>
            </w:r>
          </w:p>
          <w:p>
            <w:pPr>
              <w:tabs>
                <w:tab w:val="left" w:pos="1380"/>
                <w:tab w:val="left" w:pos="1860"/>
                <w:tab w:val="center" w:pos="4535"/>
                <w:tab w:val="left" w:pos="5985"/>
                <w:tab w:val="left" w:pos="7740"/>
              </w:tabs>
              <w:spacing w:line="360" w:lineRule="auto"/>
              <w:ind w:firstLine="480" w:firstLineChars="200"/>
              <w:rPr>
                <w:rFonts w:ascii="Times New Roman" w:hAnsi="Times New Roman"/>
                <w:color w:val="FF0000"/>
                <w:sz w:val="24"/>
              </w:rPr>
            </w:pPr>
            <w:r>
              <w:rPr>
                <w:rFonts w:hint="eastAsia" w:ascii="Times New Roman" w:hAnsi="Times New Roman"/>
                <w:color w:val="FF0000"/>
                <w:sz w:val="24"/>
              </w:rPr>
              <w:t>①</w:t>
            </w:r>
            <w:r>
              <w:rPr>
                <w:rFonts w:ascii="Times New Roman" w:hAnsi="Times New Roman"/>
                <w:color w:val="FF0000"/>
                <w:sz w:val="24"/>
              </w:rPr>
              <w:t>建设单位在项目建设过程中应认真贯彻落实《中华人民共和国土地管理法》，按时按数缴纳土地补偿费、安置补助费以及青苗补偿费。根据地方土地管理部门规定，需要缴纳耕地开垦费的应按有关规定办理，以保证耕地的数量不会减少。相关政府部门应贯彻执行耕地保护的专款专用原则，利用补偿的土地费开垦或改造与占用耕地数量相当的新的耕地。</w:t>
            </w:r>
          </w:p>
          <w:p>
            <w:pPr>
              <w:tabs>
                <w:tab w:val="left" w:pos="1380"/>
                <w:tab w:val="left" w:pos="1860"/>
                <w:tab w:val="center" w:pos="4535"/>
                <w:tab w:val="left" w:pos="5985"/>
                <w:tab w:val="left" w:pos="7740"/>
              </w:tabs>
              <w:spacing w:line="360" w:lineRule="auto"/>
              <w:ind w:firstLine="480" w:firstLineChars="200"/>
              <w:rPr>
                <w:rFonts w:ascii="Times New Roman" w:hAnsi="Times New Roman"/>
                <w:color w:val="FF0000"/>
                <w:sz w:val="24"/>
              </w:rPr>
            </w:pPr>
            <w:r>
              <w:rPr>
                <w:rFonts w:hint="eastAsia" w:ascii="Times New Roman" w:hAnsi="Times New Roman"/>
                <w:color w:val="FF0000"/>
                <w:sz w:val="24"/>
              </w:rPr>
              <w:t>②</w:t>
            </w:r>
            <w:r>
              <w:rPr>
                <w:rFonts w:ascii="Times New Roman" w:hAnsi="Times New Roman"/>
                <w:color w:val="FF0000"/>
                <w:sz w:val="24"/>
              </w:rPr>
              <w:t>施工单位要严格控制临时用地数量，施工场地要根据工程进度统筹考虑，尽可能设置在道路永久用地范围内或利用荒坡、废弃地解决，减少占用耕地面积。施工过程中要采取有效措施防止污染耕地，项目完工后临时用地要按照合同条款要求认真恢复。凡因施工破坏植被而裸露的土地均应在施工结束后立即整治利用，恢复植被或造田还耕。</w:t>
            </w:r>
          </w:p>
          <w:p>
            <w:pPr>
              <w:tabs>
                <w:tab w:val="left" w:pos="1380"/>
                <w:tab w:val="left" w:pos="1860"/>
                <w:tab w:val="center" w:pos="4535"/>
                <w:tab w:val="left" w:pos="5985"/>
                <w:tab w:val="left" w:pos="7740"/>
              </w:tabs>
              <w:spacing w:line="360" w:lineRule="auto"/>
              <w:ind w:firstLine="480" w:firstLineChars="200"/>
              <w:rPr>
                <w:rFonts w:ascii="Times New Roman" w:hAnsi="Times New Roman"/>
                <w:color w:val="FF0000"/>
                <w:sz w:val="24"/>
              </w:rPr>
            </w:pPr>
            <w:r>
              <w:rPr>
                <w:rFonts w:hint="eastAsia" w:ascii="Times New Roman" w:hAnsi="Times New Roman"/>
                <w:color w:val="FF0000"/>
                <w:sz w:val="24"/>
              </w:rPr>
              <w:t>③</w:t>
            </w:r>
            <w:r>
              <w:rPr>
                <w:rFonts w:ascii="Times New Roman" w:hAnsi="Times New Roman"/>
                <w:color w:val="FF0000"/>
                <w:sz w:val="24"/>
              </w:rPr>
              <w:t>在经过优良耕地路段，在工程可行的情况下应尽量收缩干扰边坡，以减少占用耕地，对于坡面工程应及时采取工程或植物措施加以防护以减少水土流失现象发生。</w:t>
            </w:r>
          </w:p>
          <w:p>
            <w:pPr>
              <w:tabs>
                <w:tab w:val="left" w:pos="1380"/>
                <w:tab w:val="left" w:pos="1860"/>
                <w:tab w:val="center" w:pos="4535"/>
                <w:tab w:val="left" w:pos="5985"/>
                <w:tab w:val="left" w:pos="7740"/>
              </w:tabs>
              <w:spacing w:line="360" w:lineRule="auto"/>
              <w:ind w:firstLine="480" w:firstLineChars="200"/>
              <w:rPr>
                <w:rFonts w:hint="eastAsia" w:ascii="Times New Roman" w:hAnsi="Times New Roman"/>
                <w:color w:val="FF0000"/>
                <w:sz w:val="24"/>
              </w:rPr>
            </w:pPr>
            <w:r>
              <w:rPr>
                <w:rFonts w:hint="eastAsia" w:ascii="Times New Roman" w:hAnsi="Times New Roman"/>
                <w:color w:val="FF0000"/>
                <w:sz w:val="24"/>
              </w:rPr>
              <w:t>④</w:t>
            </w:r>
            <w:r>
              <w:rPr>
                <w:rFonts w:ascii="Times New Roman" w:hAnsi="Times New Roman"/>
                <w:color w:val="FF0000"/>
                <w:sz w:val="24"/>
              </w:rPr>
              <w:t>临时开挖土应该实行分层堆放与分层回填，地表30cm厚的表土层堆放在下层，用无纺布进行隔离，其他土方需采用无纺布进行苫盖，并设置草袋装土进行拦挡压盖，同时采取洒水降尘措施。平整填埋时，也应分层回填，尽可能保持原有的生长环境、土壤肥力和生产能力不变，以利于运行期植被的恢复。</w:t>
            </w:r>
          </w:p>
          <w:p>
            <w:pPr>
              <w:tabs>
                <w:tab w:val="left" w:pos="1380"/>
                <w:tab w:val="left" w:pos="1860"/>
                <w:tab w:val="center" w:pos="4535"/>
                <w:tab w:val="left" w:pos="5985"/>
                <w:tab w:val="left" w:pos="7740"/>
              </w:tabs>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⑤道路建设中废弃的旧路等要尽可能造地复垦，不能复垦的要尽量绿化，避免闲置浪费。</w:t>
            </w:r>
          </w:p>
          <w:p>
            <w:pPr>
              <w:tabs>
                <w:tab w:val="left" w:pos="1380"/>
                <w:tab w:val="left" w:pos="1860"/>
                <w:tab w:val="center" w:pos="4535"/>
                <w:tab w:val="left" w:pos="5985"/>
                <w:tab w:val="left" w:pos="7740"/>
              </w:tabs>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lang w:val="en-US" w:eastAsia="zh-CN"/>
              </w:rPr>
              <w:t>⑥</w:t>
            </w:r>
            <w:r>
              <w:rPr>
                <w:rFonts w:hint="default" w:ascii="Times New Roman" w:hAnsi="Times New Roman" w:cs="Times New Roman"/>
                <w:color w:val="FF0000"/>
                <w:sz w:val="24"/>
              </w:rPr>
              <w:t>合理安排施工时间，保证不违农时和不留工程隐患，道路排水不直接排入农田水体，以免冲刷和污染农田。保护道路排水系统和农灌沟渠系统，避免施工对沿线农业灌溉系统的影响。</w:t>
            </w:r>
          </w:p>
          <w:p>
            <w:pPr>
              <w:spacing w:line="360" w:lineRule="auto"/>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（3）项目施工分区具体生态恢复措施</w:t>
            </w:r>
          </w:p>
          <w:p>
            <w:pPr>
              <w:tabs>
                <w:tab w:val="left" w:pos="1380"/>
                <w:tab w:val="left" w:pos="1860"/>
                <w:tab w:val="center" w:pos="4535"/>
                <w:tab w:val="left" w:pos="5985"/>
                <w:tab w:val="left" w:pos="7740"/>
              </w:tabs>
              <w:spacing w:line="360" w:lineRule="auto"/>
              <w:ind w:firstLine="480" w:firstLineChars="200"/>
              <w:rPr>
                <w:rFonts w:hint="eastAsia" w:ascii="Times New Roman" w:hAnsi="Times New Roman" w:eastAsia="宋体"/>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①</w:t>
            </w:r>
            <w:r>
              <w:rPr>
                <w:rFonts w:ascii="Times New Roman" w:hAnsi="Times New Roman"/>
                <w:color w:val="000000" w:themeColor="text1"/>
                <w:sz w:val="24"/>
                <w14:textFill>
                  <w14:solidFill>
                    <w14:schemeClr w14:val="tx1"/>
                  </w14:solidFill>
                </w14:textFill>
              </w:rPr>
              <w:t>风机及箱变施工</w:t>
            </w:r>
            <w:r>
              <w:rPr>
                <w:rFonts w:hint="eastAsia"/>
                <w:color w:val="000000" w:themeColor="text1"/>
                <w:sz w:val="24"/>
                <w:lang w:val="en-US" w:eastAsia="zh-CN"/>
                <w14:textFill>
                  <w14:solidFill>
                    <w14:schemeClr w14:val="tx1"/>
                  </w14:solidFill>
                </w14:textFill>
              </w:rPr>
              <w:t>区恢复措施</w:t>
            </w:r>
          </w:p>
          <w:p>
            <w:pPr>
              <w:tabs>
                <w:tab w:val="left" w:pos="1380"/>
                <w:tab w:val="left" w:pos="1860"/>
                <w:tab w:val="center" w:pos="4535"/>
                <w:tab w:val="left" w:pos="5985"/>
                <w:tab w:val="left" w:pos="7740"/>
              </w:tabs>
              <w:spacing w:line="360" w:lineRule="auto"/>
              <w:ind w:firstLine="480" w:firstLineChars="200"/>
              <w:rPr>
                <w:rFonts w:hint="default" w:ascii="Times New Roman" w:hAnsi="Times New Roman"/>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施工结束后，对临时施工场地和吊装场地进行表土回填、土地平整，对平整后的临时占地进行全面整地，</w:t>
            </w:r>
            <w:r>
              <w:rPr>
                <w:rFonts w:hint="eastAsia" w:ascii="Times New Roman" w:hAnsi="Times New Roman"/>
                <w:color w:val="000000" w:themeColor="text1"/>
                <w:sz w:val="24"/>
                <w:lang w:val="en-US" w:eastAsia="zh-CN"/>
                <w14:textFill>
                  <w14:solidFill>
                    <w14:schemeClr w14:val="tx1"/>
                  </w14:solidFill>
                </w14:textFill>
              </w:rPr>
              <w:t>基础与周围地面形成的渣体边坡采取植物护坡，撒播</w:t>
            </w:r>
            <w:r>
              <w:rPr>
                <w:rFonts w:hint="eastAsia"/>
                <w:color w:val="000000" w:themeColor="text1"/>
                <w:sz w:val="24"/>
                <w:lang w:val="en-US" w:eastAsia="zh-CN"/>
                <w14:textFill>
                  <w14:solidFill>
                    <w14:schemeClr w14:val="tx1"/>
                  </w14:solidFill>
                </w14:textFill>
              </w:rPr>
              <w:t>草籽或种植灌木；在临时占地内原为耕地的，恢复为耕地交于当地农民耕种。</w:t>
            </w:r>
          </w:p>
          <w:p>
            <w:pPr>
              <w:tabs>
                <w:tab w:val="left" w:pos="1380"/>
                <w:tab w:val="left" w:pos="1860"/>
                <w:tab w:val="center" w:pos="4535"/>
                <w:tab w:val="left" w:pos="5985"/>
                <w:tab w:val="left" w:pos="7740"/>
              </w:tabs>
              <w:spacing w:line="360" w:lineRule="auto"/>
              <w:ind w:firstLine="480" w:firstLineChars="200"/>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②</w:t>
            </w:r>
            <w:r>
              <w:rPr>
                <w:rFonts w:ascii="Times New Roman" w:hAnsi="Times New Roman"/>
                <w:color w:val="000000" w:themeColor="text1"/>
                <w:sz w:val="24"/>
                <w14:textFill>
                  <w14:solidFill>
                    <w14:schemeClr w14:val="tx1"/>
                  </w14:solidFill>
                </w14:textFill>
              </w:rPr>
              <w:t>输电线路施工</w:t>
            </w:r>
            <w:r>
              <w:rPr>
                <w:rFonts w:hint="eastAsia"/>
                <w:color w:val="000000" w:themeColor="text1"/>
                <w:sz w:val="24"/>
                <w:lang w:val="en-US" w:eastAsia="zh-CN"/>
                <w14:textFill>
                  <w14:solidFill>
                    <w14:schemeClr w14:val="tx1"/>
                  </w14:solidFill>
                </w14:textFill>
              </w:rPr>
              <w:t>区恢复措施</w:t>
            </w:r>
          </w:p>
          <w:p>
            <w:pPr>
              <w:tabs>
                <w:tab w:val="left" w:pos="1380"/>
                <w:tab w:val="left" w:pos="1860"/>
                <w:tab w:val="center" w:pos="4535"/>
                <w:tab w:val="left" w:pos="5985"/>
                <w:tab w:val="left" w:pos="7740"/>
              </w:tabs>
              <w:spacing w:line="360" w:lineRule="auto"/>
              <w:ind w:firstLine="480" w:firstLineChars="200"/>
              <w:rPr>
                <w:rFonts w:hint="default" w:ascii="Times New Roman" w:hAnsi="Times New Roman" w:eastAsia="宋体"/>
                <w:color w:val="FF0000"/>
                <w:sz w:val="24"/>
                <w:lang w:val="en-US" w:eastAsia="zh-CN"/>
              </w:rPr>
            </w:pPr>
            <w:r>
              <w:rPr>
                <w:rFonts w:ascii="Times New Roman" w:hAnsi="Times New Roman"/>
                <w:color w:val="FF0000"/>
                <w:sz w:val="24"/>
              </w:rPr>
              <w:t>施工前对电缆沟及塔杆基础可剥离的表土进行剥离，施工结束后对电缆沟</w:t>
            </w:r>
            <w:r>
              <w:rPr>
                <w:rFonts w:hint="eastAsia"/>
                <w:color w:val="FF0000"/>
                <w:sz w:val="24"/>
                <w:lang w:val="en-US" w:eastAsia="zh-CN"/>
              </w:rPr>
              <w:t>和铁塔</w:t>
            </w:r>
            <w:r>
              <w:rPr>
                <w:rFonts w:ascii="Times New Roman" w:hAnsi="Times New Roman"/>
                <w:color w:val="FF0000"/>
                <w:sz w:val="24"/>
              </w:rPr>
              <w:t>占地进行土地平整，</w:t>
            </w:r>
            <w:r>
              <w:rPr>
                <w:rFonts w:hint="eastAsia"/>
                <w:color w:val="FF0000"/>
                <w:sz w:val="24"/>
                <w:lang w:val="en-US" w:eastAsia="zh-CN"/>
              </w:rPr>
              <w:t>及时进行耕种。</w:t>
            </w:r>
          </w:p>
          <w:p>
            <w:pPr>
              <w:tabs>
                <w:tab w:val="left" w:pos="1380"/>
                <w:tab w:val="left" w:pos="1860"/>
                <w:tab w:val="center" w:pos="4535"/>
                <w:tab w:val="left" w:pos="5985"/>
                <w:tab w:val="left" w:pos="7740"/>
              </w:tabs>
              <w:spacing w:line="360" w:lineRule="auto"/>
              <w:ind w:firstLine="480" w:firstLineChars="200"/>
              <w:rPr>
                <w:rFonts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③</w:t>
            </w:r>
            <w:r>
              <w:rPr>
                <w:rFonts w:ascii="Times New Roman" w:hAnsi="Times New Roman"/>
                <w:color w:val="000000" w:themeColor="text1"/>
                <w:sz w:val="24"/>
                <w14:textFill>
                  <w14:solidFill>
                    <w14:schemeClr w14:val="tx1"/>
                  </w14:solidFill>
                </w14:textFill>
              </w:rPr>
              <w:t>道路工程施工</w:t>
            </w:r>
            <w:r>
              <w:rPr>
                <w:rFonts w:hint="eastAsia"/>
                <w:color w:val="000000" w:themeColor="text1"/>
                <w:sz w:val="24"/>
                <w:lang w:val="en-US" w:eastAsia="zh-CN"/>
                <w14:textFill>
                  <w14:solidFill>
                    <w14:schemeClr w14:val="tx1"/>
                  </w14:solidFill>
                </w14:textFill>
              </w:rPr>
              <w:t>区恢复措施</w:t>
            </w:r>
          </w:p>
          <w:p>
            <w:pPr>
              <w:tabs>
                <w:tab w:val="left" w:pos="1380"/>
                <w:tab w:val="left" w:pos="1860"/>
                <w:tab w:val="center" w:pos="4535"/>
                <w:tab w:val="left" w:pos="5985"/>
                <w:tab w:val="left" w:pos="7740"/>
              </w:tabs>
              <w:spacing w:line="360" w:lineRule="auto"/>
              <w:ind w:firstLine="480" w:firstLineChars="200"/>
              <w:rPr>
                <w:rFonts w:hint="default" w:ascii="Times New Roman" w:hAnsi="Times New Roman" w:eastAsia="宋体"/>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本项目场内</w:t>
            </w:r>
            <w:r>
              <w:rPr>
                <w:rFonts w:hint="eastAsia"/>
                <w:color w:val="000000" w:themeColor="text1"/>
                <w:sz w:val="24"/>
                <w:lang w:val="en-US" w:eastAsia="zh-CN"/>
                <w14:textFill>
                  <w14:solidFill>
                    <w14:schemeClr w14:val="tx1"/>
                  </w14:solidFill>
                </w14:textFill>
              </w:rPr>
              <w:t>新建</w:t>
            </w:r>
            <w:r>
              <w:rPr>
                <w:rFonts w:ascii="Times New Roman" w:hAnsi="Times New Roman"/>
                <w:color w:val="000000" w:themeColor="text1"/>
                <w:sz w:val="24"/>
                <w14:textFill>
                  <w14:solidFill>
                    <w14:schemeClr w14:val="tx1"/>
                  </w14:solidFill>
                </w14:textFill>
              </w:rPr>
              <w:t>道路总长度约</w:t>
            </w:r>
            <w:r>
              <w:rPr>
                <w:rFonts w:hint="eastAsia"/>
                <w:color w:val="000000" w:themeColor="text1"/>
                <w:sz w:val="24"/>
                <w:lang w:val="en-US" w:eastAsia="zh-CN"/>
                <w14:textFill>
                  <w14:solidFill>
                    <w14:schemeClr w14:val="tx1"/>
                  </w14:solidFill>
                </w14:textFill>
              </w:rPr>
              <w:t>2.651</w:t>
            </w:r>
            <w:r>
              <w:rPr>
                <w:rFonts w:ascii="Times New Roman" w:hAnsi="Times New Roman"/>
                <w:color w:val="000000" w:themeColor="text1"/>
                <w:sz w:val="24"/>
                <w14:textFill>
                  <w14:solidFill>
                    <w14:schemeClr w14:val="tx1"/>
                  </w14:solidFill>
                </w14:textFill>
              </w:rPr>
              <w:t>km，</w:t>
            </w:r>
            <w:r>
              <w:rPr>
                <w:rFonts w:hint="eastAsia"/>
                <w:color w:val="000000" w:themeColor="text1"/>
                <w:sz w:val="24"/>
                <w:lang w:val="en-US" w:eastAsia="zh-CN"/>
                <w14:textFill>
                  <w14:solidFill>
                    <w14:schemeClr w14:val="tx1"/>
                  </w14:solidFill>
                </w14:textFill>
              </w:rPr>
              <w:t>改建</w:t>
            </w:r>
            <w:r>
              <w:rPr>
                <w:rFonts w:ascii="Times New Roman" w:hAnsi="Times New Roman"/>
                <w:color w:val="000000" w:themeColor="text1"/>
                <w:sz w:val="24"/>
                <w14:textFill>
                  <w14:solidFill>
                    <w14:schemeClr w14:val="tx1"/>
                  </w14:solidFill>
                </w14:textFill>
              </w:rPr>
              <w:t>道路总长度约</w:t>
            </w:r>
            <w:r>
              <w:rPr>
                <w:rFonts w:hint="eastAsia"/>
                <w:color w:val="000000" w:themeColor="text1"/>
                <w:sz w:val="24"/>
                <w:lang w:val="en-US" w:eastAsia="zh-CN"/>
                <w14:textFill>
                  <w14:solidFill>
                    <w14:schemeClr w14:val="tx1"/>
                  </w14:solidFill>
                </w14:textFill>
              </w:rPr>
              <w:t>2.77</w:t>
            </w:r>
            <w:r>
              <w:rPr>
                <w:rFonts w:ascii="Times New Roman" w:hAnsi="Times New Roman"/>
                <w:color w:val="000000" w:themeColor="text1"/>
                <w:sz w:val="24"/>
                <w14:textFill>
                  <w14:solidFill>
                    <w14:schemeClr w14:val="tx1"/>
                  </w14:solidFill>
                </w14:textFill>
              </w:rPr>
              <w:t>km</w:t>
            </w:r>
            <w:r>
              <w:rPr>
                <w:rFonts w:hint="eastAsia"/>
                <w:color w:val="000000" w:themeColor="text1"/>
                <w:sz w:val="24"/>
                <w:lang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道路</w:t>
            </w:r>
            <w:r>
              <w:rPr>
                <w:rFonts w:hint="eastAsia"/>
                <w:color w:val="000000" w:themeColor="text1"/>
                <w:sz w:val="24"/>
                <w:lang w:val="en-US" w:eastAsia="zh-CN"/>
                <w14:textFill>
                  <w14:solidFill>
                    <w14:schemeClr w14:val="tx1"/>
                  </w14:solidFill>
                </w14:textFill>
              </w:rPr>
              <w:t>宽</w:t>
            </w:r>
            <w:r>
              <w:rPr>
                <w:rFonts w:hint="eastAsia" w:ascii="Times New Roman" w:hAnsi="Times New Roman"/>
                <w:color w:val="000000" w:themeColor="text1"/>
                <w:sz w:val="24"/>
                <w:lang w:val="en-US" w:eastAsia="zh-CN"/>
                <w14:textFill>
                  <w14:solidFill>
                    <w14:schemeClr w14:val="tx1"/>
                  </w14:solidFill>
                </w14:textFill>
              </w:rPr>
              <w:t>5.0</w:t>
            </w:r>
            <w:r>
              <w:rPr>
                <w:rFonts w:ascii="Times New Roman" w:hAnsi="Times New Roman"/>
                <w:color w:val="000000" w:themeColor="text1"/>
                <w:sz w:val="24"/>
                <w14:textFill>
                  <w14:solidFill>
                    <w14:schemeClr w14:val="tx1"/>
                  </w14:solidFill>
                </w14:textFill>
              </w:rPr>
              <w:t>m</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总临时占地面积约1.6025hm</w:t>
            </w:r>
            <w:r>
              <w:rPr>
                <w:rFonts w:hint="eastAsia"/>
                <w:color w:val="000000" w:themeColor="text1"/>
                <w:sz w:val="24"/>
                <w:vertAlign w:val="super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，占地性质为耕地。因此施工完成后对</w:t>
            </w:r>
            <w:bookmarkStart w:id="21" w:name="_GoBack"/>
            <w:r>
              <w:rPr>
                <w:rFonts w:hint="eastAsia"/>
                <w:color w:val="000000" w:themeColor="text1"/>
                <w:sz w:val="24"/>
                <w:lang w:val="en-US" w:eastAsia="zh-CN"/>
                <w14:textFill>
                  <w14:solidFill>
                    <w14:schemeClr w14:val="tx1"/>
                  </w14:solidFill>
                </w14:textFill>
              </w:rPr>
              <w:t>临时占地</w:t>
            </w:r>
            <w:bookmarkEnd w:id="21"/>
            <w:r>
              <w:rPr>
                <w:rFonts w:hint="eastAsia"/>
                <w:color w:val="000000" w:themeColor="text1"/>
                <w:sz w:val="24"/>
                <w:lang w:val="en-US" w:eastAsia="zh-CN"/>
                <w14:textFill>
                  <w14:solidFill>
                    <w14:schemeClr w14:val="tx1"/>
                  </w14:solidFill>
                </w14:textFill>
              </w:rPr>
              <w:t>根据复垦方案进行复垦，恢复原耕种条件，交由当地农民进行耕种。</w:t>
            </w:r>
          </w:p>
          <w:p>
            <w:pPr>
              <w:spacing w:line="360" w:lineRule="auto"/>
              <w:ind w:firstLine="482"/>
              <w:rPr>
                <w:rFonts w:hint="default"/>
                <w:color w:val="000000" w:themeColor="text1"/>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根据《中广核陕西潼关风电项目》的实际运行经验，施工期生态环境保护措施可行。</w:t>
            </w:r>
            <w:r>
              <w:rPr>
                <w:rFonts w:hint="eastAsia"/>
                <w:color w:val="000000" w:themeColor="text1"/>
                <w:sz w:val="24"/>
                <w:lang w:val="en-US" w:eastAsia="zh-CN"/>
                <w14:textFill>
                  <w14:solidFill>
                    <w14:schemeClr w14:val="tx1"/>
                  </w14:solidFill>
                </w14:textFill>
              </w:rPr>
              <w:t>施工期</w:t>
            </w:r>
            <w:r>
              <w:rPr>
                <w:color w:val="000000" w:themeColor="text1"/>
                <w:sz w:val="24"/>
                <w14:textFill>
                  <w14:solidFill>
                    <w14:schemeClr w14:val="tx1"/>
                  </w14:solidFill>
                </w14:textFill>
              </w:rPr>
              <w:t>生态影响详见生态环境影响评价专题。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753" w:type="dxa"/>
            <w:noWrap w:val="0"/>
            <w:tcMar>
              <w:left w:w="28" w:type="dxa"/>
              <w:right w:w="28" w:type="dxa"/>
            </w:tcMar>
            <w:vAlign w:val="center"/>
          </w:tcPr>
          <w:p>
            <w:pPr>
              <w:adjustRightInd w:val="0"/>
              <w:snapToGrid w:val="0"/>
              <w:jc w:val="center"/>
              <w:rPr>
                <w:rFonts w:hint="default" w:ascii="Times New Roman" w:hAnsi="Times New Roman" w:cs="Times New Roman"/>
                <w:bCs/>
                <w:color w:val="000000" w:themeColor="text1"/>
                <w:spacing w:val="10"/>
                <w:sz w:val="24"/>
                <w:szCs w:val="24"/>
                <w14:textFill>
                  <w14:solidFill>
                    <w14:schemeClr w14:val="tx1"/>
                  </w14:solidFill>
                </w14:textFill>
              </w:rPr>
            </w:pPr>
            <w:r>
              <w:rPr>
                <w:rFonts w:hint="default" w:ascii="Times New Roman" w:hAnsi="Times New Roman" w:cs="Times New Roman"/>
                <w:bCs/>
                <w:color w:val="000000" w:themeColor="text1"/>
                <w:spacing w:val="10"/>
                <w:sz w:val="24"/>
                <w:szCs w:val="24"/>
                <w14:textFill>
                  <w14:solidFill>
                    <w14:schemeClr w14:val="tx1"/>
                  </w14:solidFill>
                </w14:textFill>
              </w:rPr>
              <w:t>运营期生态环境保护措施</w:t>
            </w:r>
          </w:p>
        </w:tc>
        <w:tc>
          <w:tcPr>
            <w:tcW w:w="8457" w:type="dxa"/>
            <w:noWrap w:val="0"/>
            <w:vAlign w:val="top"/>
          </w:tcPr>
          <w:p>
            <w:pPr>
              <w:numPr>
                <w:ilvl w:val="0"/>
                <w:numId w:val="0"/>
              </w:num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1、大气环境保护措施</w:t>
            </w:r>
          </w:p>
          <w:p>
            <w:pPr>
              <w:spacing w:line="360" w:lineRule="auto"/>
              <w:ind w:firstLine="480" w:firstLineChars="200"/>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本项目运营期无废气产生。</w:t>
            </w:r>
          </w:p>
          <w:p>
            <w:pPr>
              <w:numPr>
                <w:ilvl w:val="0"/>
                <w:numId w:val="0"/>
              </w:num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2、地表水环境保护措施</w:t>
            </w:r>
          </w:p>
          <w:p>
            <w:pPr>
              <w:spacing w:line="360" w:lineRule="auto"/>
              <w:ind w:firstLine="42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本项目运营期</w:t>
            </w:r>
            <w:r>
              <w:rPr>
                <w:rFonts w:hint="eastAsia"/>
                <w:color w:val="000000" w:themeColor="text1"/>
                <w:sz w:val="24"/>
                <w:szCs w:val="24"/>
                <w:lang w:val="en-US" w:eastAsia="zh-CN"/>
                <w14:textFill>
                  <w14:solidFill>
                    <w14:schemeClr w14:val="tx1"/>
                  </w14:solidFill>
                </w14:textFill>
              </w:rPr>
              <w:t>无废水产生</w:t>
            </w:r>
            <w:r>
              <w:rPr>
                <w:rFonts w:ascii="Times New Roman" w:hAnsi="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3、地下水环境保护措施</w:t>
            </w:r>
          </w:p>
          <w:p>
            <w:pPr>
              <w:tabs>
                <w:tab w:val="left" w:pos="3600"/>
              </w:tabs>
              <w:spacing w:line="360" w:lineRule="auto"/>
              <w:ind w:firstLine="496" w:firstLineChars="200"/>
              <w:rPr>
                <w:rFonts w:hint="eastAsia" w:ascii="Times New Roman" w:hAnsi="Times New Roman" w:eastAsia="宋体"/>
                <w:color w:val="000000" w:themeColor="text1"/>
                <w:sz w:val="24"/>
                <w:szCs w:val="24"/>
                <w:lang w:eastAsia="zh-CN"/>
                <w14:textFill>
                  <w14:solidFill>
                    <w14:schemeClr w14:val="tx1"/>
                  </w14:solidFill>
                </w14:textFill>
              </w:rPr>
            </w:pPr>
            <w:r>
              <w:rPr>
                <w:rFonts w:ascii="Times New Roman" w:hAnsi="Times New Roman"/>
                <w:color w:val="000000" w:themeColor="text1"/>
                <w:spacing w:val="4"/>
                <w:sz w:val="24"/>
                <w:szCs w:val="20"/>
                <w14:textFill>
                  <w14:solidFill>
                    <w14:schemeClr w14:val="tx1"/>
                  </w14:solidFill>
                </w14:textFill>
              </w:rPr>
              <w:t>本项目对地下水影响为</w:t>
            </w:r>
            <w:r>
              <w:rPr>
                <w:rFonts w:hint="eastAsia"/>
                <w:color w:val="000000" w:themeColor="text1"/>
                <w:spacing w:val="4"/>
                <w:sz w:val="24"/>
                <w:szCs w:val="20"/>
                <w:lang w:val="en-US" w:eastAsia="zh-CN"/>
                <w14:textFill>
                  <w14:solidFill>
                    <w14:schemeClr w14:val="tx1"/>
                  </w14:solidFill>
                </w14:textFill>
              </w:rPr>
              <w:t>35</w:t>
            </w:r>
            <w:r>
              <w:rPr>
                <w:rFonts w:ascii="Times New Roman" w:hAnsi="Times New Roman"/>
                <w:color w:val="000000" w:themeColor="text1"/>
                <w:spacing w:val="4"/>
                <w:sz w:val="24"/>
                <w:szCs w:val="20"/>
                <w14:textFill>
                  <w14:solidFill>
                    <w14:schemeClr w14:val="tx1"/>
                  </w14:solidFill>
                </w14:textFill>
              </w:rPr>
              <w:t>kV箱式变压器下事故油池</w:t>
            </w:r>
            <w:r>
              <w:rPr>
                <w:rFonts w:hint="eastAsia"/>
                <w:color w:val="000000" w:themeColor="text1"/>
                <w:spacing w:val="4"/>
                <w:sz w:val="24"/>
                <w:szCs w:val="20"/>
                <w:lang w:val="en-US" w:eastAsia="zh-CN"/>
                <w14:textFill>
                  <w14:solidFill>
                    <w14:schemeClr w14:val="tx1"/>
                  </w14:solidFill>
                </w14:textFill>
              </w:rPr>
              <w:t>以及危险废物暂存间废油</w:t>
            </w:r>
            <w:r>
              <w:rPr>
                <w:rFonts w:ascii="Times New Roman" w:hAnsi="Times New Roman"/>
                <w:color w:val="000000" w:themeColor="text1"/>
                <w:spacing w:val="4"/>
                <w:sz w:val="24"/>
                <w:szCs w:val="20"/>
                <w14:textFill>
                  <w14:solidFill>
                    <w14:schemeClr w14:val="tx1"/>
                  </w14:solidFill>
                </w14:textFill>
              </w:rPr>
              <w:t>泄露下渗对地下水产生的影响，为有效预防废油下渗对地下水产生影响，对事故油池</w:t>
            </w:r>
            <w:r>
              <w:rPr>
                <w:rFonts w:hint="eastAsia"/>
                <w:color w:val="000000" w:themeColor="text1"/>
                <w:spacing w:val="4"/>
                <w:sz w:val="24"/>
                <w:szCs w:val="20"/>
                <w:lang w:val="en-US" w:eastAsia="zh-CN"/>
                <w14:textFill>
                  <w14:solidFill>
                    <w14:schemeClr w14:val="tx1"/>
                  </w14:solidFill>
                </w14:textFill>
              </w:rPr>
              <w:t>和危废暂存间进行</w:t>
            </w:r>
            <w:r>
              <w:rPr>
                <w:rFonts w:ascii="Times New Roman" w:hAnsi="Times New Roman"/>
                <w:color w:val="000000" w:themeColor="text1"/>
                <w:spacing w:val="4"/>
                <w:sz w:val="24"/>
                <w:szCs w:val="20"/>
                <w14:textFill>
                  <w14:solidFill>
                    <w14:schemeClr w14:val="tx1"/>
                  </w14:solidFill>
                </w14:textFill>
              </w:rPr>
              <w:t>重点防渗。</w:t>
            </w:r>
            <w:r>
              <w:rPr>
                <w:rFonts w:ascii="Times New Roman" w:hAnsi="Times New Roman"/>
                <w:color w:val="000000" w:themeColor="text1"/>
                <w:sz w:val="24"/>
                <w:szCs w:val="24"/>
                <w14:textFill>
                  <w14:solidFill>
                    <w14:schemeClr w14:val="tx1"/>
                  </w14:solidFill>
                </w14:textFill>
              </w:rPr>
              <w:t>按照《危险废物贮存污染控制标准》及其2013修改单的要求</w:t>
            </w:r>
            <w:r>
              <w:rPr>
                <w:rFonts w:hint="eastAsia"/>
                <w:color w:val="000000" w:themeColor="text1"/>
                <w:sz w:val="24"/>
                <w:szCs w:val="24"/>
                <w:lang w:eastAsia="zh-CN"/>
                <w14:textFill>
                  <w14:solidFill>
                    <w14:schemeClr w14:val="tx1"/>
                  </w14:solidFill>
                </w14:textFill>
              </w:rPr>
              <w:t>：</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a事故油池基础安装在四周及底部为混凝土防渗结构之上；</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b事故油池底部铺设</w:t>
            </w:r>
            <w:r>
              <w:rPr>
                <w:rFonts w:ascii="Times New Roman" w:hAnsi="Times New Roman" w:eastAsia="Times New Roman"/>
                <w:color w:val="000000" w:themeColor="text1"/>
                <w:sz w:val="24"/>
                <w:szCs w:val="24"/>
                <w14:textFill>
                  <w14:solidFill>
                    <w14:schemeClr w14:val="tx1"/>
                  </w14:solidFill>
                </w14:textFill>
              </w:rPr>
              <w:t>1m</w:t>
            </w:r>
            <w:r>
              <w:rPr>
                <w:rFonts w:ascii="Times New Roman" w:hAnsi="Times New Roman"/>
                <w:color w:val="000000" w:themeColor="text1"/>
                <w:sz w:val="24"/>
                <w:szCs w:val="24"/>
                <w14:textFill>
                  <w14:solidFill>
                    <w14:schemeClr w14:val="tx1"/>
                  </w14:solidFill>
                </w14:textFill>
              </w:rPr>
              <w:t>粘土层</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压实平整，</w:t>
            </w:r>
            <w:r>
              <w:rPr>
                <w:rFonts w:hint="eastAsia"/>
                <w:color w:val="000000" w:themeColor="text1"/>
                <w:sz w:val="24"/>
                <w:szCs w:val="24"/>
                <w:lang w:val="en-US" w:eastAsia="zh-CN"/>
                <w14:textFill>
                  <w14:solidFill>
                    <w14:schemeClr w14:val="tx1"/>
                  </w14:solidFill>
                </w14:textFill>
              </w:rPr>
              <w:t>进行防渗和防腐处理</w:t>
            </w:r>
            <w:r>
              <w:rPr>
                <w:rFonts w:ascii="Times New Roman" w:hAnsi="Times New Roman"/>
                <w:color w:val="000000" w:themeColor="text1"/>
                <w:sz w:val="24"/>
                <w:szCs w:val="24"/>
                <w14:textFill>
                  <w14:solidFill>
                    <w14:schemeClr w14:val="tx1"/>
                  </w14:solidFill>
                </w14:textFill>
              </w:rPr>
              <w:t>，上部密闭</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同时</w:t>
            </w:r>
            <w:r>
              <w:rPr>
                <w:rFonts w:ascii="Times New Roman" w:hAnsi="Times New Roman"/>
                <w:color w:val="000000" w:themeColor="text1"/>
                <w:sz w:val="24"/>
                <w:szCs w:val="24"/>
                <w14:textFill>
                  <w14:solidFill>
                    <w14:schemeClr w14:val="tx1"/>
                  </w14:solidFill>
                </w14:textFill>
              </w:rPr>
              <w:t>做好防风、防雨、防晒等相应措施；</w:t>
            </w:r>
          </w:p>
          <w:p>
            <w:pPr>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c采用耐腐蚀水泥硬化，并在混凝土表面采用环氧树脂涂料涂抹3次进行防渗，各类危险废物应使用专用容器盛装且分区存放，废矿物油等液体废物容器底部设置防渗托盘，避免液态危险废物外漏等措施；</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d</w:t>
            </w:r>
            <w:r>
              <w:rPr>
                <w:rFonts w:ascii="Times New Roman" w:hAnsi="Times New Roman"/>
                <w:color w:val="000000" w:themeColor="text1"/>
                <w:sz w:val="24"/>
                <w:szCs w:val="24"/>
                <w14:textFill>
                  <w14:solidFill>
                    <w14:schemeClr w14:val="tx1"/>
                  </w14:solidFill>
                </w14:textFill>
              </w:rPr>
              <w:t>巡检人员定期对风机进行检查，做好日常渗漏的防护措施，如发现箱变</w:t>
            </w:r>
            <w:r>
              <w:rPr>
                <w:rFonts w:hint="eastAsia"/>
                <w:color w:val="000000" w:themeColor="text1"/>
                <w:sz w:val="24"/>
                <w:szCs w:val="24"/>
                <w:lang w:val="en-US" w:eastAsia="zh-CN"/>
                <w14:textFill>
                  <w14:solidFill>
                    <w14:schemeClr w14:val="tx1"/>
                  </w14:solidFill>
                </w14:textFill>
              </w:rPr>
              <w:t>或主变</w:t>
            </w:r>
            <w:r>
              <w:rPr>
                <w:rFonts w:ascii="Times New Roman" w:hAnsi="Times New Roman"/>
                <w:color w:val="000000" w:themeColor="text1"/>
                <w:sz w:val="24"/>
                <w:szCs w:val="24"/>
                <w14:textFill>
                  <w14:solidFill>
                    <w14:schemeClr w14:val="tx1"/>
                  </w14:solidFill>
                </w14:textFill>
              </w:rPr>
              <w:t>有渗漏</w:t>
            </w:r>
            <w:r>
              <w:rPr>
                <w:rFonts w:hint="eastAsia"/>
                <w:color w:val="000000" w:themeColor="text1"/>
                <w:sz w:val="24"/>
                <w:szCs w:val="24"/>
                <w:lang w:val="en-US" w:eastAsia="zh-CN"/>
                <w14:textFill>
                  <w14:solidFill>
                    <w14:schemeClr w14:val="tx1"/>
                  </w14:solidFill>
                </w14:textFill>
              </w:rPr>
              <w:t>风险</w:t>
            </w:r>
            <w:r>
              <w:rPr>
                <w:rFonts w:ascii="Times New Roman" w:hAnsi="Times New Roman"/>
                <w:color w:val="000000" w:themeColor="text1"/>
                <w:sz w:val="24"/>
                <w:szCs w:val="24"/>
                <w14:textFill>
                  <w14:solidFill>
                    <w14:schemeClr w14:val="tx1"/>
                  </w14:solidFill>
                </w14:textFill>
              </w:rPr>
              <w:t>，将立即查找渗漏原因，对渗漏处进行密封处理。</w:t>
            </w:r>
          </w:p>
          <w:p>
            <w:pPr>
              <w:tabs>
                <w:tab w:val="left" w:pos="3600"/>
              </w:tabs>
              <w:spacing w:line="360" w:lineRule="auto"/>
              <w:ind w:firstLine="496" w:firstLineChars="200"/>
              <w:rPr>
                <w:rFonts w:hint="eastAsia" w:eastAsia="宋体"/>
                <w:b/>
                <w:bCs/>
                <w:color w:val="000000" w:themeColor="text1"/>
                <w:sz w:val="24"/>
                <w:lang w:val="en-US" w:eastAsia="zh-CN"/>
                <w14:textFill>
                  <w14:solidFill>
                    <w14:schemeClr w14:val="tx1"/>
                  </w14:solidFill>
                </w14:textFill>
              </w:rPr>
            </w:pPr>
            <w:r>
              <w:rPr>
                <w:rFonts w:ascii="Times New Roman" w:hAnsi="Times New Roman"/>
                <w:color w:val="000000" w:themeColor="text1"/>
                <w:spacing w:val="4"/>
                <w:sz w:val="24"/>
                <w:szCs w:val="20"/>
                <w14:textFill>
                  <w14:solidFill>
                    <w14:schemeClr w14:val="tx1"/>
                  </w14:solidFill>
                </w14:textFill>
              </w:rPr>
              <w:t>采取以上措施后，对区域地下水环境影响较小。</w:t>
            </w:r>
          </w:p>
          <w:p>
            <w:p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4、声环境保护措施</w:t>
            </w:r>
          </w:p>
          <w:p>
            <w:pPr>
              <w:spacing w:line="360" w:lineRule="auto"/>
              <w:ind w:firstLine="4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项目运行期的噪声主要是风机运转噪声和35kV开关站噪声。</w:t>
            </w:r>
          </w:p>
          <w:p>
            <w:pPr>
              <w:spacing w:line="360" w:lineRule="auto"/>
              <w:ind w:firstLine="480" w:firstLineChars="200"/>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风机声环境</w:t>
            </w:r>
            <w:r>
              <w:rPr>
                <w:rFonts w:hint="eastAsia"/>
                <w:color w:val="000000" w:themeColor="text1"/>
                <w:sz w:val="24"/>
                <w:szCs w:val="24"/>
                <w:lang w:val="en-US" w:eastAsia="zh-CN"/>
                <w14:textFill>
                  <w14:solidFill>
                    <w14:schemeClr w14:val="tx1"/>
                  </w14:solidFill>
                </w14:textFill>
              </w:rPr>
              <w:t>保护措施</w:t>
            </w:r>
          </w:p>
          <w:p>
            <w:pPr>
              <w:spacing w:line="360" w:lineRule="auto"/>
              <w:ind w:firstLine="420"/>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本项目应选用隔音防振型低噪声风电机，变速齿轮箱为减噪型，叶片选用减速叶片等，从源头减小噪声的影响，同时加强设备的保养和维护，确保正常高效状态运行</w:t>
            </w:r>
            <w:r>
              <w:rPr>
                <w:rFonts w:hint="eastAsia" w:eastAsia="宋体"/>
                <w:color w:val="000000" w:themeColor="text1"/>
                <w:sz w:val="24"/>
                <w:szCs w:val="24"/>
                <w:lang w:val="en-US" w:eastAsia="zh-CN"/>
                <w14:textFill>
                  <w14:solidFill>
                    <w14:schemeClr w14:val="tx1"/>
                  </w14:solidFill>
                </w14:textFill>
              </w:rPr>
              <w:t>。</w:t>
            </w:r>
            <w:r>
              <w:rPr>
                <w:rFonts w:hint="eastAsia"/>
                <w:color w:val="FF0000"/>
                <w:sz w:val="24"/>
                <w:szCs w:val="24"/>
                <w:lang w:val="en-US" w:eastAsia="zh-CN"/>
              </w:rPr>
              <w:t>同时设置声环境防护距离250m，防护距离内不得新建学校、</w:t>
            </w:r>
            <w:r>
              <w:rPr>
                <w:rFonts w:hint="eastAsia"/>
                <w:color w:val="FF0000"/>
                <w:sz w:val="24"/>
                <w:lang w:val="en-US" w:eastAsia="zh-CN"/>
              </w:rPr>
              <w:t>村庄以及民宅等敏感目标。</w:t>
            </w:r>
          </w:p>
          <w:p>
            <w:pPr>
              <w:spacing w:line="360" w:lineRule="auto"/>
              <w:ind w:firstLine="42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李晓玲等《风电场运行期噪声影响范围及防治措施》和《中广核陕西潼关风电项目》的实际运行经验，该措施可行；同时本项目拟建风机距敏感目标较远，最近敏感目标为T5风机南侧的王庄镇，距离为329m；因此采取本次提出的措施后，对区域声环境质量影响较小。</w:t>
            </w:r>
          </w:p>
          <w:p>
            <w:pPr>
              <w:spacing w:line="360" w:lineRule="auto"/>
              <w:ind w:firstLine="420"/>
              <w:rPr>
                <w:rFonts w:hint="default"/>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35</w:t>
            </w:r>
            <w:r>
              <w:rPr>
                <w:rFonts w:hint="eastAsia" w:eastAsia="宋体"/>
                <w:color w:val="000000" w:themeColor="text1"/>
                <w:sz w:val="24"/>
                <w:szCs w:val="24"/>
                <w:lang w:val="en-US" w:eastAsia="zh-CN"/>
                <w14:textFill>
                  <w14:solidFill>
                    <w14:schemeClr w14:val="tx1"/>
                  </w14:solidFill>
                </w14:textFill>
              </w:rPr>
              <w:t>k</w:t>
            </w:r>
            <w:r>
              <w:rPr>
                <w:rFonts w:hint="eastAsia"/>
                <w:color w:val="000000" w:themeColor="text1"/>
                <w:sz w:val="24"/>
                <w:szCs w:val="24"/>
                <w:lang w:val="en-US" w:eastAsia="zh-CN"/>
                <w14:textFill>
                  <w14:solidFill>
                    <w14:schemeClr w14:val="tx1"/>
                  </w14:solidFill>
                </w14:textFill>
              </w:rPr>
              <w:t>V开关站声环境保护措施</w:t>
            </w:r>
          </w:p>
          <w:p>
            <w:pPr>
              <w:spacing w:line="360" w:lineRule="auto"/>
              <w:ind w:firstLine="420"/>
              <w:rPr>
                <w:rFonts w:hint="default"/>
                <w:color w:val="FF0000"/>
                <w:sz w:val="24"/>
                <w:szCs w:val="24"/>
                <w:lang w:val="en-US" w:eastAsia="zh-CN"/>
              </w:rPr>
            </w:pPr>
            <w:r>
              <w:rPr>
                <w:rFonts w:hint="eastAsia"/>
                <w:color w:val="FF0000"/>
                <w:sz w:val="24"/>
                <w:szCs w:val="24"/>
                <w:lang w:val="en-US" w:eastAsia="zh-CN"/>
              </w:rPr>
              <w:t>本项目35kV开关站主要为</w:t>
            </w:r>
            <w:r>
              <w:rPr>
                <w:rFonts w:hint="eastAsia" w:ascii="Times New Roman" w:hAnsi="Times New Roman"/>
                <w:color w:val="FF0000"/>
                <w:sz w:val="24"/>
              </w:rPr>
              <w:t>散热系统风机产生的噪声</w:t>
            </w:r>
            <w:r>
              <w:rPr>
                <w:rFonts w:hint="eastAsia"/>
                <w:color w:val="FF0000"/>
                <w:sz w:val="24"/>
                <w:szCs w:val="24"/>
                <w:lang w:val="en-US" w:eastAsia="zh-CN"/>
              </w:rPr>
              <w:t>，采取隔声、减震措施，加强设备的保养和维护，确保设备正常高效运行，</w:t>
            </w:r>
            <w:r>
              <w:rPr>
                <w:rFonts w:hint="eastAsia" w:eastAsia="宋体"/>
                <w:color w:val="FF0000"/>
                <w:sz w:val="24"/>
                <w:szCs w:val="24"/>
                <w:lang w:val="en-US" w:eastAsia="zh-CN"/>
              </w:rPr>
              <w:t>对</w:t>
            </w:r>
            <w:r>
              <w:rPr>
                <w:rFonts w:hint="eastAsia"/>
                <w:color w:val="FF0000"/>
                <w:sz w:val="24"/>
                <w:szCs w:val="24"/>
                <w:lang w:val="en-US" w:eastAsia="zh-CN"/>
              </w:rPr>
              <w:t>区域</w:t>
            </w:r>
            <w:r>
              <w:rPr>
                <w:rFonts w:hint="eastAsia" w:eastAsia="宋体"/>
                <w:color w:val="FF0000"/>
                <w:sz w:val="24"/>
                <w:szCs w:val="24"/>
                <w:lang w:val="en-US" w:eastAsia="zh-CN"/>
              </w:rPr>
              <w:t>声环境影响较小。</w:t>
            </w:r>
          </w:p>
          <w:p>
            <w:p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5、固体废物保护措施</w:t>
            </w:r>
          </w:p>
          <w:p>
            <w:pPr>
              <w:autoSpaceDE w:val="0"/>
              <w:autoSpaceDN w:val="0"/>
              <w:adjustRightInd w:val="0"/>
              <w:spacing w:line="360" w:lineRule="auto"/>
              <w:ind w:firstLine="480" w:firstLineChars="200"/>
              <w:contextualSpacing/>
              <w:jc w:val="left"/>
              <w:rPr>
                <w:rFonts w:hint="default" w:ascii="Times New Roman" w:hAnsi="Times New Roman"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本项目产生的危险废物包括</w:t>
            </w:r>
            <w:r>
              <w:rPr>
                <w:rFonts w:ascii="Times New Roman" w:hAnsi="Times New Roman"/>
                <w:color w:val="000000" w:themeColor="text1"/>
                <w:sz w:val="24"/>
                <w14:textFill>
                  <w14:solidFill>
                    <w14:schemeClr w14:val="tx1"/>
                  </w14:solidFill>
                </w14:textFill>
              </w:rPr>
              <w:t>设备检修固废、废变压器油、废箱式变压器、废润滑油。</w:t>
            </w:r>
          </w:p>
          <w:p>
            <w:pPr>
              <w:autoSpaceDE w:val="0"/>
              <w:autoSpaceDN w:val="0"/>
              <w:adjustRightInd w:val="0"/>
              <w:spacing w:line="360" w:lineRule="auto"/>
              <w:ind w:firstLine="480" w:firstLineChars="200"/>
              <w:contextualSpacing/>
              <w:jc w:val="left"/>
              <w:rPr>
                <w:rFonts w:hint="default" w:ascii="Times New Roman" w:hAnsi="Times New Roman" w:eastAsia="宋体"/>
                <w:color w:val="000000" w:themeColor="text1"/>
                <w:sz w:val="24"/>
                <w:lang w:val="en-US" w:eastAsia="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箱变检修及事故状态</w:t>
            </w:r>
            <w:r>
              <w:rPr>
                <w:rFonts w:ascii="Times New Roman" w:hAnsi="Times New Roman"/>
                <w:color w:val="000000" w:themeColor="text1"/>
                <w:sz w:val="24"/>
                <w14:textFill>
                  <w14:solidFill>
                    <w14:schemeClr w14:val="tx1"/>
                  </w14:solidFill>
                </w14:textFill>
              </w:rPr>
              <w:t>会产生废变压油，环评要求在每个风机的箱式变压器处设置</w:t>
            </w:r>
            <w:r>
              <w:rPr>
                <w:rFonts w:hint="eastAsia"/>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m</w:t>
            </w:r>
            <w:r>
              <w:rPr>
                <w:rFonts w:ascii="Times New Roman" w:hAnsi="Times New Roman"/>
                <w:color w:val="000000" w:themeColor="text1"/>
                <w:sz w:val="24"/>
                <w:vertAlign w:val="super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的防渗事故油池，</w:t>
            </w:r>
            <w:r>
              <w:rPr>
                <w:rFonts w:ascii="Times New Roman" w:hAnsi="Times New Roman"/>
                <w:color w:val="000000" w:themeColor="text1"/>
                <w:sz w:val="24"/>
                <w:lang w:val="zh-CN"/>
                <w14:textFill>
                  <w14:solidFill>
                    <w14:schemeClr w14:val="tx1"/>
                  </w14:solidFill>
                </w14:textFill>
              </w:rPr>
              <w:t>废油由软管自箱变油箱引至</w:t>
            </w:r>
            <w:r>
              <w:rPr>
                <w:rFonts w:hint="eastAsia" w:ascii="Times New Roman" w:hAnsi="Times New Roman"/>
                <w:color w:val="000000" w:themeColor="text1"/>
                <w:sz w:val="24"/>
                <w:lang w:val="zh-CN"/>
                <w14:textFill>
                  <w14:solidFill>
                    <w14:schemeClr w14:val="tx1"/>
                  </w14:solidFill>
                </w14:textFill>
              </w:rPr>
              <w:t>下方</w:t>
            </w:r>
            <w:r>
              <w:rPr>
                <w:rFonts w:ascii="Times New Roman" w:hAnsi="Times New Roman"/>
                <w:color w:val="000000" w:themeColor="text1"/>
                <w:sz w:val="24"/>
                <w:lang w:val="zh-CN"/>
                <w14:textFill>
                  <w14:solidFill>
                    <w14:schemeClr w14:val="tx1"/>
                  </w14:solidFill>
                </w14:textFill>
              </w:rPr>
              <w:t>事故油池收集</w:t>
            </w:r>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在危险废物暂存间暂存后，交由有资质单位处置。</w:t>
            </w:r>
            <w:r>
              <w:rPr>
                <w:rFonts w:ascii="Times New Roman" w:hAnsi="Times New Roman"/>
                <w:color w:val="000000" w:themeColor="text1"/>
                <w:sz w:val="24"/>
                <w14:textFill>
                  <w14:solidFill>
                    <w14:schemeClr w14:val="tx1"/>
                  </w14:solidFill>
                </w14:textFill>
              </w:rPr>
              <w:t>设备检修固废</w:t>
            </w:r>
            <w:r>
              <w:rPr>
                <w:rFonts w:hint="eastAsia"/>
                <w:color w:val="000000" w:themeColor="text1"/>
                <w:sz w:val="24"/>
                <w:lang w:val="en-US" w:eastAsia="zh-CN"/>
                <w14:textFill>
                  <w14:solidFill>
                    <w14:schemeClr w14:val="tx1"/>
                  </w14:solidFill>
                </w14:textFill>
              </w:rPr>
              <w:t>和</w:t>
            </w:r>
            <w:r>
              <w:rPr>
                <w:rFonts w:ascii="Times New Roman" w:hAnsi="Times New Roman"/>
                <w:color w:val="000000" w:themeColor="text1"/>
                <w:sz w:val="24"/>
                <w14:textFill>
                  <w14:solidFill>
                    <w14:schemeClr w14:val="tx1"/>
                  </w14:solidFill>
                </w14:textFill>
              </w:rPr>
              <w:t>废弃润滑油应集中收集暂存于危废暂存</w:t>
            </w:r>
            <w:r>
              <w:rPr>
                <w:rFonts w:hint="eastAsia"/>
                <w:color w:val="000000" w:themeColor="text1"/>
                <w:sz w:val="24"/>
                <w:lang w:val="en-US" w:eastAsia="zh-CN"/>
                <w14:textFill>
                  <w14:solidFill>
                    <w14:schemeClr w14:val="tx1"/>
                  </w14:solidFill>
                </w14:textFill>
              </w:rPr>
              <w:t>间</w:t>
            </w:r>
            <w:r>
              <w:rPr>
                <w:rFonts w:ascii="Times New Roman" w:hAnsi="Times New Roman"/>
                <w:color w:val="000000" w:themeColor="text1"/>
                <w:sz w:val="24"/>
                <w14:textFill>
                  <w14:solidFill>
                    <w14:schemeClr w14:val="tx1"/>
                  </w14:solidFill>
                </w14:textFill>
              </w:rPr>
              <w:t>，交由有资质的单位处置。废箱式变压器</w:t>
            </w:r>
            <w:r>
              <w:rPr>
                <w:rFonts w:hint="eastAsia"/>
                <w:color w:val="000000" w:themeColor="text1"/>
                <w:sz w:val="24"/>
                <w:lang w:val="en-US" w:eastAsia="zh-CN"/>
                <w14:textFill>
                  <w14:solidFill>
                    <w14:schemeClr w14:val="tx1"/>
                  </w14:solidFill>
                </w14:textFill>
              </w:rPr>
              <w:t>收集至危险废物暂存间，交由有资质单位回收处置。</w:t>
            </w:r>
          </w:p>
          <w:p>
            <w:pPr>
              <w:autoSpaceDE w:val="0"/>
              <w:autoSpaceDN w:val="0"/>
              <w:adjustRightInd w:val="0"/>
              <w:spacing w:line="360" w:lineRule="auto"/>
              <w:ind w:firstLine="480" w:firstLineChars="200"/>
              <w:contextualSpacing/>
              <w:jc w:val="left"/>
              <w:rPr>
                <w:rFonts w:ascii="Times New Roman" w:hAnsi="Times New Roman"/>
                <w:color w:val="000000" w:themeColor="text1"/>
                <w:sz w:val="24"/>
                <w:szCs w:val="24"/>
                <w14:textFill>
                  <w14:solidFill>
                    <w14:schemeClr w14:val="tx1"/>
                  </w14:solidFill>
                </w14:textFill>
              </w:rPr>
            </w:pPr>
            <w:r>
              <w:rPr>
                <w:rFonts w:hint="eastAsia"/>
                <w:color w:val="000000" w:themeColor="text1"/>
                <w:sz w:val="24"/>
                <w:lang w:val="en-US" w:eastAsia="zh-CN"/>
                <w14:textFill>
                  <w14:solidFill>
                    <w14:schemeClr w14:val="tx1"/>
                  </w14:solidFill>
                </w14:textFill>
              </w:rPr>
              <w:t>本项目35</w:t>
            </w:r>
            <w:r>
              <w:rPr>
                <w:rFonts w:ascii="Times New Roman" w:hAnsi="Times New Roman"/>
                <w:color w:val="000000" w:themeColor="text1"/>
                <w:sz w:val="24"/>
                <w14:textFill>
                  <w14:solidFill>
                    <w14:schemeClr w14:val="tx1"/>
                  </w14:solidFill>
                </w14:textFill>
              </w:rPr>
              <w:t>kV</w:t>
            </w:r>
            <w:r>
              <w:rPr>
                <w:rFonts w:hint="eastAsia"/>
                <w:color w:val="000000" w:themeColor="text1"/>
                <w:sz w:val="24"/>
                <w:lang w:val="en-US" w:eastAsia="zh-CN"/>
                <w14:textFill>
                  <w14:solidFill>
                    <w14:schemeClr w14:val="tx1"/>
                  </w14:solidFill>
                </w14:textFill>
              </w:rPr>
              <w:t>开关站</w:t>
            </w:r>
            <w:r>
              <w:rPr>
                <w:rFonts w:ascii="Times New Roman" w:hAnsi="Times New Roman"/>
                <w:color w:val="000000" w:themeColor="text1"/>
                <w:sz w:val="24"/>
                <w14:textFill>
                  <w14:solidFill>
                    <w14:schemeClr w14:val="tx1"/>
                  </w14:solidFill>
                </w14:textFill>
              </w:rPr>
              <w:t>拟建危险废物暂存间1座（10m</w:t>
            </w:r>
            <w:r>
              <w:rPr>
                <w:rFonts w:ascii="Times New Roman" w:hAnsi="Times New Roman"/>
                <w:color w:val="000000" w:themeColor="text1"/>
                <w:sz w:val="24"/>
                <w:vertAlign w:val="super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用于危险废物的暂存，定期交由有资质的单位处置。危险废物暂存间应严格按照《危险废物贮存污染控制标准》（GB18597-2001）（2013年修订）及其修改单及《危险废物收集、贮存、运输技术规范》（HJ2025-2012）等相关要求对其进行收集、贮存、转移及运输。</w:t>
            </w:r>
          </w:p>
          <w:p>
            <w:pPr>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危废收集要求：</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①危险废物必须进行分类收集，并设立危险废物标志。</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②加强管理，严禁未经处置排放或者和生活垃圾一起清运。</w:t>
            </w:r>
          </w:p>
          <w:p>
            <w:pPr>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危废暂存要求：</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①危险废物根据不同的类别分区存放。</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②危险废物的贮存设施的选址与设计、运行与管理、安全防护、环境监测及应急措施、以及关闭等须遵循《危险废物贮存污染控制标准》（GB18597-2001）（2013年修订）的规定。</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③基础必须</w:t>
            </w:r>
            <w:r>
              <w:rPr>
                <w:rFonts w:hint="eastAsia" w:ascii="Times New Roman" w:hAnsi="Times New Roman"/>
                <w:color w:val="000000" w:themeColor="text1"/>
                <w:sz w:val="24"/>
                <w:szCs w:val="24"/>
                <w14:textFill>
                  <w14:solidFill>
                    <w14:schemeClr w14:val="tx1"/>
                  </w14:solidFill>
                </w14:textFill>
              </w:rPr>
              <w:t>进行</w:t>
            </w:r>
            <w:r>
              <w:rPr>
                <w:rFonts w:ascii="Times New Roman" w:hAnsi="Times New Roman"/>
                <w:color w:val="000000" w:themeColor="text1"/>
                <w:sz w:val="24"/>
                <w:szCs w:val="24"/>
                <w14:textFill>
                  <w14:solidFill>
                    <w14:schemeClr w14:val="tx1"/>
                  </w14:solidFill>
                </w14:textFill>
              </w:rPr>
              <w:t>防渗，</w:t>
            </w:r>
            <w:r>
              <w:rPr>
                <w:rFonts w:hint="eastAsia" w:ascii="Times New Roman" w:hAnsi="Times New Roman"/>
                <w:color w:val="000000" w:themeColor="text1"/>
                <w:sz w:val="24"/>
                <w:szCs w:val="24"/>
                <w14:textFill>
                  <w14:solidFill>
                    <w14:schemeClr w14:val="tx1"/>
                  </w14:solidFill>
                </w14:textFill>
              </w:rPr>
              <w:t>采用混凝土防渗</w:t>
            </w:r>
            <w:r>
              <w:rPr>
                <w:rFonts w:ascii="Times New Roman" w:hAnsi="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④加强对危险废物暂时贮存场所的管理，定期巡检，确保危险废物不扩散、不渗漏、不丢失等。</w:t>
            </w:r>
          </w:p>
          <w:p>
            <w:pPr>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危险废物转运要求：</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①危险废物的容器和包装物以及收集、暂存、转移、处置危险废物的设施、场所，必须设置危险废物识别标志。</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②禁止车间随意倾倒、堆置危险废物。</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③禁止将危险废物混入非危险废物中收集、暂存、转移、处置，收集、贮存、转移危险废物时，严格按照危险废物特性分类进行，防止混合收集、贮存、运输、转移性质不相容且未经安全性处置的危险废物。</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④需要转移危险废物时，必须按照相关规定办理危险废物转移联单，未经批准，不得进行转移。</w:t>
            </w:r>
          </w:p>
          <w:p>
            <w:pPr>
              <w:spacing w:line="360" w:lineRule="auto"/>
              <w:ind w:firstLine="480" w:firstLineChars="200"/>
              <w:rPr>
                <w:rFonts w:hint="eastAsia"/>
                <w:color w:val="000000" w:themeColor="text1"/>
                <w:sz w:val="24"/>
                <w:szCs w:val="24"/>
                <w:lang w:eastAsia="zh-CN"/>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⑤根据实际情况，安全、有效地处理好紧急事故过程中产生的危险废物，杜绝环境污染事故的发生</w:t>
            </w:r>
            <w:r>
              <w:rPr>
                <w:rFonts w:hint="eastAsia"/>
                <w:color w:val="000000" w:themeColor="text1"/>
                <w:sz w:val="24"/>
                <w:szCs w:val="24"/>
                <w:lang w:eastAsia="zh-CN"/>
                <w14:textFill>
                  <w14:solidFill>
                    <w14:schemeClr w14:val="tx1"/>
                  </w14:solidFill>
                </w14:textFill>
              </w:rPr>
              <w:t>。</w:t>
            </w:r>
          </w:p>
          <w:p>
            <w:pPr>
              <w:spacing w:line="360" w:lineRule="auto"/>
              <w:ind w:firstLine="482" w:firstLineChars="200"/>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6</w:t>
            </w:r>
            <w:r>
              <w:rPr>
                <w:rFonts w:hint="eastAsia" w:eastAsia="宋体"/>
                <w:b/>
                <w:bCs/>
                <w:color w:val="000000" w:themeColor="text1"/>
                <w:sz w:val="24"/>
                <w:lang w:val="en-US"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生态</w:t>
            </w:r>
            <w:r>
              <w:rPr>
                <w:rFonts w:hint="eastAsia" w:eastAsia="宋体"/>
                <w:b/>
                <w:bCs/>
                <w:color w:val="000000" w:themeColor="text1"/>
                <w:sz w:val="24"/>
                <w:lang w:val="en-US" w:eastAsia="zh-CN"/>
                <w14:textFill>
                  <w14:solidFill>
                    <w14:schemeClr w14:val="tx1"/>
                  </w14:solidFill>
                </w14:textFill>
              </w:rPr>
              <w:t>环境</w:t>
            </w:r>
            <w:r>
              <w:rPr>
                <w:rFonts w:hint="eastAsia"/>
                <w:b/>
                <w:bCs/>
                <w:color w:val="000000" w:themeColor="text1"/>
                <w:sz w:val="24"/>
                <w:lang w:val="en-US" w:eastAsia="zh-CN"/>
                <w14:textFill>
                  <w14:solidFill>
                    <w14:schemeClr w14:val="tx1"/>
                  </w14:solidFill>
                </w14:textFill>
              </w:rPr>
              <w:t>保护</w:t>
            </w:r>
            <w:r>
              <w:rPr>
                <w:rFonts w:hint="eastAsia" w:eastAsia="宋体"/>
                <w:b/>
                <w:bCs/>
                <w:color w:val="000000" w:themeColor="text1"/>
                <w:sz w:val="24"/>
                <w:lang w:val="en-US" w:eastAsia="zh-CN"/>
                <w14:textFill>
                  <w14:solidFill>
                    <w14:schemeClr w14:val="tx1"/>
                  </w14:solidFill>
                </w14:textFill>
              </w:rPr>
              <w:t>措施</w:t>
            </w:r>
          </w:p>
          <w:p>
            <w:pPr>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营运期生态影响主要表现为对</w:t>
            </w:r>
            <w:r>
              <w:rPr>
                <w:rFonts w:hint="eastAsia"/>
                <w:color w:val="000000" w:themeColor="text1"/>
                <w:sz w:val="24"/>
                <w:lang w:val="en-US" w:eastAsia="zh-CN"/>
                <w14:textFill>
                  <w14:solidFill>
                    <w14:schemeClr w14:val="tx1"/>
                  </w14:solidFill>
                </w14:textFill>
              </w:rPr>
              <w:t>地表植被生物量和野生</w:t>
            </w:r>
            <w:r>
              <w:rPr>
                <w:rFonts w:hint="eastAsia" w:ascii="Times New Roman" w:hAnsi="Times New Roman"/>
                <w:color w:val="000000" w:themeColor="text1"/>
                <w:sz w:val="24"/>
                <w:lang w:val="en-US" w:eastAsia="zh-CN"/>
                <w14:textFill>
                  <w14:solidFill>
                    <w14:schemeClr w14:val="tx1"/>
                  </w14:solidFill>
                </w14:textFill>
              </w:rPr>
              <w:t>动物的影响</w:t>
            </w:r>
            <w:r>
              <w:rPr>
                <w:rFonts w:hint="eastAsia"/>
                <w:color w:val="000000" w:themeColor="text1"/>
                <w:sz w:val="24"/>
                <w:lang w:val="en-US" w:eastAsia="zh-CN"/>
                <w14:textFill>
                  <w14:solidFill>
                    <w14:schemeClr w14:val="tx1"/>
                  </w14:solidFill>
                </w14:textFill>
              </w:rPr>
              <w:t>。</w:t>
            </w:r>
          </w:p>
          <w:p>
            <w:pPr>
              <w:numPr>
                <w:ilvl w:val="0"/>
                <w:numId w:val="0"/>
              </w:numPr>
              <w:spacing w:line="360" w:lineRule="auto"/>
              <w:ind w:firstLine="480" w:firstLineChars="200"/>
              <w:jc w:val="left"/>
              <w:rPr>
                <w:rFonts w:hint="eastAsia"/>
                <w:color w:val="FF0000"/>
                <w:sz w:val="24"/>
                <w:lang w:val="en-US" w:eastAsia="zh-CN"/>
              </w:rPr>
            </w:pPr>
            <w:r>
              <w:rPr>
                <w:rFonts w:hint="eastAsia"/>
                <w:color w:val="FF0000"/>
                <w:sz w:val="24"/>
                <w:lang w:val="en-US" w:eastAsia="zh-CN"/>
              </w:rPr>
              <w:t>（1）地表植被生物量保护措施</w:t>
            </w:r>
          </w:p>
          <w:p>
            <w:pPr>
              <w:spacing w:line="360" w:lineRule="auto"/>
              <w:ind w:firstLine="480" w:firstLineChars="200"/>
              <w:jc w:val="left"/>
              <w:rPr>
                <w:rFonts w:hint="eastAsia" w:cs="Times New Roman"/>
                <w:color w:val="FF0000"/>
                <w:kern w:val="2"/>
                <w:sz w:val="24"/>
                <w:szCs w:val="24"/>
                <w:lang w:val="en-US" w:eastAsia="zh-CN" w:bidi="ar-SA"/>
              </w:rPr>
            </w:pPr>
            <w:r>
              <w:rPr>
                <w:rFonts w:hint="eastAsia" w:cs="Times New Roman"/>
                <w:color w:val="FF0000"/>
                <w:kern w:val="2"/>
                <w:sz w:val="24"/>
                <w:szCs w:val="24"/>
                <w:lang w:val="en-US" w:eastAsia="zh-CN" w:bidi="ar-SA"/>
              </w:rPr>
              <w:t>本项目运行期地表植被生物量保护措施如下：①</w:t>
            </w:r>
            <w:r>
              <w:rPr>
                <w:rFonts w:hint="default" w:ascii="Times New Roman" w:hAnsi="Times New Roman" w:eastAsia="宋体" w:cs="Times New Roman"/>
                <w:color w:val="FF0000"/>
                <w:kern w:val="2"/>
                <w:sz w:val="24"/>
                <w:szCs w:val="24"/>
                <w:lang w:val="en-US" w:eastAsia="zh-CN" w:bidi="ar-SA"/>
              </w:rPr>
              <w:t>完善施工期未实施到位的</w:t>
            </w:r>
            <w:r>
              <w:rPr>
                <w:rFonts w:hint="eastAsia" w:cs="Times New Roman"/>
                <w:color w:val="FF0000"/>
                <w:kern w:val="2"/>
                <w:sz w:val="24"/>
                <w:szCs w:val="24"/>
                <w:lang w:val="en-US" w:eastAsia="zh-CN" w:bidi="ar-SA"/>
              </w:rPr>
              <w:t>耕地</w:t>
            </w:r>
            <w:r>
              <w:rPr>
                <w:rFonts w:hint="default" w:ascii="Times New Roman" w:hAnsi="Times New Roman" w:eastAsia="宋体" w:cs="Times New Roman"/>
                <w:color w:val="FF0000"/>
                <w:kern w:val="2"/>
                <w:sz w:val="24"/>
                <w:szCs w:val="24"/>
                <w:lang w:val="en-US" w:eastAsia="zh-CN" w:bidi="ar-SA"/>
              </w:rPr>
              <w:t>保护措施</w:t>
            </w:r>
            <w:r>
              <w:rPr>
                <w:rFonts w:hint="eastAsia" w:cs="Times New Roman"/>
                <w:color w:val="FF0000"/>
                <w:kern w:val="2"/>
                <w:sz w:val="24"/>
                <w:szCs w:val="24"/>
                <w:lang w:val="en-US" w:eastAsia="zh-CN" w:bidi="ar-SA"/>
              </w:rPr>
              <w:t>，</w:t>
            </w:r>
            <w:r>
              <w:rPr>
                <w:rFonts w:hint="default" w:ascii="Times New Roman" w:hAnsi="Times New Roman" w:eastAsia="宋体" w:cs="Times New Roman"/>
                <w:color w:val="FF0000"/>
                <w:kern w:val="2"/>
                <w:sz w:val="24"/>
                <w:szCs w:val="24"/>
                <w:lang w:val="en-US" w:eastAsia="zh-CN" w:bidi="ar-SA"/>
              </w:rPr>
              <w:t>确保项目建设区（除永久用地）</w:t>
            </w:r>
            <w:r>
              <w:rPr>
                <w:rFonts w:hint="eastAsia" w:cs="Times New Roman"/>
                <w:color w:val="FF0000"/>
                <w:kern w:val="2"/>
                <w:sz w:val="24"/>
                <w:szCs w:val="24"/>
                <w:lang w:val="en-US" w:eastAsia="zh-CN" w:bidi="ar-SA"/>
              </w:rPr>
              <w:t>耕地恢复耕种条件，并及时耕种。②开关站内植树和种草，增加站内绿化率。③主体工程检修过程中，对占压的植被及时进行恢复，并进行有效的抚育。</w:t>
            </w:r>
          </w:p>
          <w:p>
            <w:pPr>
              <w:spacing w:line="360" w:lineRule="auto"/>
              <w:ind w:firstLine="480" w:firstLineChars="200"/>
              <w:jc w:val="left"/>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（2）野生动物保护措施</w:t>
            </w:r>
          </w:p>
          <w:p>
            <w:pPr>
              <w:numPr>
                <w:ilvl w:val="0"/>
                <w:numId w:val="0"/>
              </w:numPr>
              <w:spacing w:line="360" w:lineRule="auto"/>
              <w:ind w:firstLine="480" w:firstLineChars="200"/>
              <w:jc w:val="left"/>
              <w:rPr>
                <w:rFonts w:hint="eastAsia"/>
                <w:color w:val="000000" w:themeColor="text1"/>
                <w:sz w:val="24"/>
                <w:lang w:val="en-US" w:eastAsia="zh-CN"/>
                <w14:textFill>
                  <w14:solidFill>
                    <w14:schemeClr w14:val="tx1"/>
                  </w14:solidFill>
                </w14:textFill>
              </w:rPr>
            </w:pPr>
            <w:r>
              <w:rPr>
                <w:rFonts w:hint="eastAsia" w:cs="Times New Roman"/>
                <w:color w:val="000000" w:themeColor="text1"/>
                <w:kern w:val="2"/>
                <w:sz w:val="24"/>
                <w:szCs w:val="24"/>
                <w:lang w:val="en-US" w:eastAsia="zh-CN" w:bidi="ar-SA"/>
                <w14:textFill>
                  <w14:solidFill>
                    <w14:schemeClr w14:val="tx1"/>
                  </w14:solidFill>
                </w14:textFill>
              </w:rPr>
              <w:t>本项目运行期野生动物保护措施如下：</w:t>
            </w:r>
            <w:r>
              <w:rPr>
                <w:rFonts w:hint="eastAsia"/>
                <w:color w:val="000000" w:themeColor="text1"/>
                <w:sz w:val="24"/>
                <w:lang w:val="en-US" w:eastAsia="zh-CN"/>
                <w14:textFill>
                  <w14:solidFill>
                    <w14:schemeClr w14:val="tx1"/>
                  </w14:solidFill>
                </w14:textFill>
              </w:rPr>
              <w:t>①风机叶片涂成与绿色反差很大的颜色，如红白相间色，以利飞鸟辩识，降低对鸟类飞行的影响；②除必要的照明外，减少夜间灯光投射，减少对兽类惊扰影响。</w:t>
            </w:r>
          </w:p>
          <w:p>
            <w:pPr>
              <w:spacing w:line="360" w:lineRule="auto"/>
              <w:ind w:firstLine="482"/>
              <w:rPr>
                <w:rFonts w:hint="default" w:ascii="Times New Roman" w:hAnsi="Times New Roman" w:eastAsia="宋体" w:cs="Times New Roman"/>
                <w:bCs/>
                <w:color w:val="000000" w:themeColor="text1"/>
                <w:spacing w:val="10"/>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根据《中广核陕西潼关风电项目》的实际运行经验，该生态环境保护措施可行。</w:t>
            </w:r>
            <w:r>
              <w:rPr>
                <w:rFonts w:hint="eastAsia"/>
                <w:color w:val="000000" w:themeColor="text1"/>
                <w:sz w:val="24"/>
                <w14:textFill>
                  <w14:solidFill>
                    <w14:schemeClr w14:val="tx1"/>
                  </w14:solidFill>
                </w14:textFill>
              </w:rPr>
              <w:t>运营</w:t>
            </w:r>
            <w:r>
              <w:rPr>
                <w:color w:val="000000" w:themeColor="text1"/>
                <w:sz w:val="24"/>
                <w14:textFill>
                  <w14:solidFill>
                    <w14:schemeClr w14:val="tx1"/>
                  </w14:solidFill>
                </w14:textFill>
              </w:rPr>
              <w:t>期生态影响详见生态环境影响评价专题。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8" w:hRule="atLeast"/>
          <w:jc w:val="center"/>
        </w:trPr>
        <w:tc>
          <w:tcPr>
            <w:tcW w:w="753" w:type="dxa"/>
            <w:noWrap w:val="0"/>
            <w:vAlign w:val="center"/>
          </w:tcPr>
          <w:p>
            <w:pPr>
              <w:adjustRightInd w:val="0"/>
              <w:snapToGrid w:val="0"/>
              <w:jc w:val="center"/>
              <w:rPr>
                <w:rFonts w:hint="default" w:ascii="Times New Roman" w:hAnsi="Times New Roman" w:cs="Times New Roman"/>
                <w:bCs/>
                <w:color w:val="000000" w:themeColor="text1"/>
                <w:spacing w:val="10"/>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其他</w:t>
            </w:r>
          </w:p>
        </w:tc>
        <w:tc>
          <w:tcPr>
            <w:tcW w:w="8457" w:type="dxa"/>
            <w:noWrap w:val="0"/>
            <w:vAlign w:val="top"/>
          </w:tcPr>
          <w:p>
            <w:pPr>
              <w:spacing w:line="360" w:lineRule="auto"/>
              <w:ind w:firstLine="482" w:firstLineChars="200"/>
              <w:rPr>
                <w:rFonts w:hint="default" w:eastAsia="宋体"/>
                <w:b/>
                <w:bCs/>
                <w:color w:val="000000" w:themeColor="text1"/>
                <w:sz w:val="24"/>
                <w:lang w:val="en-US" w:eastAsia="zh-CN"/>
                <w14:textFill>
                  <w14:solidFill>
                    <w14:schemeClr w14:val="tx1"/>
                  </w14:solidFill>
                </w14:textFill>
              </w:rPr>
            </w:pPr>
            <w:r>
              <w:rPr>
                <w:rFonts w:hint="eastAsia" w:eastAsia="宋体"/>
                <w:b/>
                <w:bCs/>
                <w:color w:val="000000" w:themeColor="text1"/>
                <w:sz w:val="24"/>
                <w:lang w:val="en-US" w:eastAsia="zh-CN"/>
                <w14:textFill>
                  <w14:solidFill>
                    <w14:schemeClr w14:val="tx1"/>
                  </w14:solidFill>
                </w14:textFill>
              </w:rPr>
              <w:t>1、</w:t>
            </w:r>
            <w:r>
              <w:rPr>
                <w:rFonts w:hint="eastAsia" w:eastAsia="宋体"/>
                <w:b/>
                <w:bCs/>
                <w:color w:val="000000" w:themeColor="text1"/>
                <w:sz w:val="24"/>
                <w:lang w:val="zh-CN" w:eastAsia="zh-CN"/>
                <w14:textFill>
                  <w14:solidFill>
                    <w14:schemeClr w14:val="tx1"/>
                  </w14:solidFill>
                </w14:textFill>
              </w:rPr>
              <w:t>风机光影影响</w:t>
            </w:r>
            <w:r>
              <w:rPr>
                <w:rFonts w:hint="eastAsia"/>
                <w:b/>
                <w:bCs/>
                <w:color w:val="000000" w:themeColor="text1"/>
                <w:sz w:val="24"/>
                <w:lang w:val="en-US" w:eastAsia="zh-CN"/>
                <w14:textFill>
                  <w14:solidFill>
                    <w14:schemeClr w14:val="tx1"/>
                  </w14:solidFill>
                </w14:textFill>
              </w:rPr>
              <w:t>保护措施</w:t>
            </w:r>
          </w:p>
          <w:p>
            <w:pPr>
              <w:spacing w:line="360" w:lineRule="auto"/>
              <w:ind w:firstLine="420"/>
              <w:rPr>
                <w:rFonts w:hint="eastAsia"/>
                <w:color w:val="FF0000"/>
                <w:sz w:val="24"/>
                <w:lang w:val="en-US" w:eastAsia="zh-CN"/>
              </w:rPr>
            </w:pPr>
            <w:r>
              <w:rPr>
                <w:rFonts w:hint="eastAsia"/>
                <w:color w:val="FF0000"/>
                <w:sz w:val="24"/>
                <w:lang w:val="en-US" w:eastAsia="zh-CN"/>
              </w:rPr>
              <w:t>运营期间，本项目风机</w:t>
            </w:r>
            <w:r>
              <w:rPr>
                <w:rFonts w:hint="eastAsia" w:ascii="Times New Roman" w:hAnsi="Times New Roman"/>
                <w:color w:val="FF0000"/>
                <w:sz w:val="24"/>
                <w:lang w:val="en-US" w:eastAsia="zh-CN"/>
              </w:rPr>
              <w:t>南北轴线</w:t>
            </w:r>
            <w:r>
              <w:rPr>
                <w:rFonts w:hint="default" w:ascii="Times New Roman" w:hAnsi="Times New Roman" w:cs="Times New Roman"/>
                <w:color w:val="FF0000"/>
                <w:sz w:val="24"/>
                <w:lang w:val="en-US" w:eastAsia="zh-CN"/>
              </w:rPr>
              <w:t>22.5°和-22.5°</w:t>
            </w:r>
            <w:r>
              <w:rPr>
                <w:rFonts w:hint="eastAsia"/>
                <w:color w:val="FF0000"/>
                <w:sz w:val="24"/>
                <w:lang w:val="en-US" w:eastAsia="zh-CN"/>
              </w:rPr>
              <w:t>光影影响距离</w:t>
            </w:r>
            <w:r>
              <w:rPr>
                <w:rFonts w:ascii="Times New Roman" w:hAnsi="Times New Roman"/>
                <w:color w:val="FF0000"/>
                <w:sz w:val="24"/>
              </w:rPr>
              <w:t>为</w:t>
            </w:r>
            <w:r>
              <w:rPr>
                <w:rFonts w:hint="eastAsia"/>
                <w:color w:val="FF0000"/>
                <w:sz w:val="24"/>
                <w:lang w:val="en-US" w:eastAsia="zh-CN"/>
              </w:rPr>
              <w:t>406</w:t>
            </w:r>
            <w:r>
              <w:rPr>
                <w:rFonts w:ascii="Times New Roman" w:hAnsi="Times New Roman"/>
                <w:color w:val="FF0000"/>
                <w:sz w:val="24"/>
              </w:rPr>
              <w:t>m</w:t>
            </w:r>
            <w:r>
              <w:rPr>
                <w:rFonts w:hint="eastAsia"/>
                <w:color w:val="FF0000"/>
                <w:sz w:val="24"/>
                <w:lang w:eastAsia="zh-CN"/>
              </w:rPr>
              <w:t>，</w:t>
            </w:r>
            <w:r>
              <w:rPr>
                <w:rFonts w:hint="eastAsia" w:ascii="Times New Roman" w:hAnsi="Times New Roman"/>
                <w:color w:val="FF0000"/>
                <w:sz w:val="24"/>
                <w:lang w:val="en-US" w:eastAsia="zh-CN"/>
              </w:rPr>
              <w:t>风机南北轴线</w:t>
            </w:r>
            <w:r>
              <w:rPr>
                <w:rFonts w:hint="eastAsia" w:ascii="Times New Roman" w:hAnsi="Times New Roman" w:cs="Times New Roman"/>
                <w:color w:val="FF0000"/>
                <w:sz w:val="24"/>
                <w:lang w:val="en-US" w:eastAsia="zh-CN"/>
              </w:rPr>
              <w:t>1</w:t>
            </w:r>
            <w:r>
              <w:rPr>
                <w:rFonts w:hint="default" w:ascii="Times New Roman" w:hAnsi="Times New Roman" w:cs="Times New Roman"/>
                <w:color w:val="FF0000"/>
                <w:sz w:val="24"/>
                <w:lang w:val="en-US" w:eastAsia="zh-CN"/>
              </w:rPr>
              <w:t>5°和-</w:t>
            </w:r>
            <w:r>
              <w:rPr>
                <w:rFonts w:hint="eastAsia" w:ascii="Times New Roman" w:hAnsi="Times New Roman" w:cs="Times New Roman"/>
                <w:color w:val="FF0000"/>
                <w:sz w:val="24"/>
                <w:lang w:val="en-US" w:eastAsia="zh-CN"/>
              </w:rPr>
              <w:t>1</w:t>
            </w:r>
            <w:r>
              <w:rPr>
                <w:rFonts w:hint="default" w:ascii="Times New Roman" w:hAnsi="Times New Roman" w:cs="Times New Roman"/>
                <w:color w:val="FF0000"/>
                <w:sz w:val="24"/>
                <w:lang w:val="en-US" w:eastAsia="zh-CN"/>
              </w:rPr>
              <w:t>5°</w:t>
            </w:r>
            <w:r>
              <w:rPr>
                <w:rFonts w:hint="eastAsia"/>
                <w:color w:val="FF0000"/>
                <w:sz w:val="24"/>
                <w:lang w:val="en-US" w:eastAsia="zh-CN"/>
              </w:rPr>
              <w:t>光影影响距离</w:t>
            </w:r>
            <w:r>
              <w:rPr>
                <w:rFonts w:ascii="Times New Roman" w:hAnsi="Times New Roman"/>
                <w:color w:val="FF0000"/>
                <w:sz w:val="24"/>
              </w:rPr>
              <w:t>为</w:t>
            </w:r>
            <w:r>
              <w:rPr>
                <w:rFonts w:hint="eastAsia"/>
                <w:color w:val="FF0000"/>
                <w:sz w:val="24"/>
                <w:lang w:val="en-US" w:eastAsia="zh-CN"/>
              </w:rPr>
              <w:t>373</w:t>
            </w:r>
            <w:r>
              <w:rPr>
                <w:rFonts w:ascii="Times New Roman" w:hAnsi="Times New Roman"/>
                <w:color w:val="FF0000"/>
                <w:sz w:val="24"/>
              </w:rPr>
              <w:t>m</w:t>
            </w:r>
            <w:r>
              <w:rPr>
                <w:rFonts w:hint="eastAsia"/>
                <w:color w:val="FF0000"/>
                <w:sz w:val="24"/>
                <w:lang w:eastAsia="zh-CN"/>
              </w:rPr>
              <w:t>，</w:t>
            </w:r>
            <w:r>
              <w:rPr>
                <w:rFonts w:hint="eastAsia" w:ascii="Times New Roman" w:hAnsi="Times New Roman"/>
                <w:color w:val="FF0000"/>
                <w:sz w:val="24"/>
                <w:lang w:val="en-US" w:eastAsia="zh-CN"/>
              </w:rPr>
              <w:t>风机南北轴线7.5</w:t>
            </w:r>
            <w:r>
              <w:rPr>
                <w:rFonts w:hint="default" w:ascii="Times New Roman" w:hAnsi="Times New Roman"/>
                <w:color w:val="FF0000"/>
                <w:sz w:val="24"/>
                <w:lang w:val="en-US" w:eastAsia="zh-CN"/>
              </w:rPr>
              <w:t>°和-</w:t>
            </w:r>
            <w:r>
              <w:rPr>
                <w:rFonts w:hint="eastAsia" w:ascii="Times New Roman" w:hAnsi="Times New Roman"/>
                <w:color w:val="FF0000"/>
                <w:sz w:val="24"/>
                <w:lang w:val="en-US" w:eastAsia="zh-CN"/>
              </w:rPr>
              <w:t>7.5</w:t>
            </w:r>
            <w:r>
              <w:rPr>
                <w:rFonts w:hint="default" w:ascii="Times New Roman" w:hAnsi="Times New Roman"/>
                <w:color w:val="FF0000"/>
                <w:sz w:val="24"/>
                <w:lang w:val="en-US" w:eastAsia="zh-CN"/>
              </w:rPr>
              <w:t>°</w:t>
            </w:r>
            <w:r>
              <w:rPr>
                <w:rFonts w:hint="eastAsia"/>
                <w:color w:val="FF0000"/>
                <w:sz w:val="24"/>
                <w:lang w:val="en-US" w:eastAsia="zh-CN"/>
              </w:rPr>
              <w:t>光影影响距离</w:t>
            </w:r>
            <w:r>
              <w:rPr>
                <w:rFonts w:ascii="Times New Roman" w:hAnsi="Times New Roman"/>
                <w:color w:val="FF0000"/>
                <w:sz w:val="24"/>
              </w:rPr>
              <w:t>为</w:t>
            </w:r>
            <w:r>
              <w:rPr>
                <w:rFonts w:hint="eastAsia"/>
                <w:color w:val="FF0000"/>
                <w:sz w:val="24"/>
                <w:lang w:val="en-US" w:eastAsia="zh-CN"/>
              </w:rPr>
              <w:t>355</w:t>
            </w:r>
            <w:r>
              <w:rPr>
                <w:rFonts w:ascii="Times New Roman" w:hAnsi="Times New Roman"/>
                <w:color w:val="FF0000"/>
                <w:sz w:val="24"/>
              </w:rPr>
              <w:t>m</w:t>
            </w:r>
            <w:r>
              <w:rPr>
                <w:rFonts w:hint="eastAsia"/>
                <w:color w:val="FF0000"/>
                <w:sz w:val="24"/>
                <w:lang w:eastAsia="zh-CN"/>
              </w:rPr>
              <w:t>，</w:t>
            </w:r>
            <w:r>
              <w:rPr>
                <w:rFonts w:hint="eastAsia" w:ascii="Times New Roman" w:hAnsi="Times New Roman"/>
                <w:color w:val="FF0000"/>
                <w:sz w:val="24"/>
                <w:lang w:val="en-US" w:eastAsia="zh-CN"/>
              </w:rPr>
              <w:t>风机正北方向的</w:t>
            </w:r>
            <w:r>
              <w:rPr>
                <w:rFonts w:hint="eastAsia"/>
                <w:color w:val="FF0000"/>
                <w:sz w:val="24"/>
                <w:lang w:val="en-US" w:eastAsia="zh-CN"/>
              </w:rPr>
              <w:t>光影影响距离</w:t>
            </w:r>
            <w:r>
              <w:rPr>
                <w:rFonts w:hint="eastAsia" w:ascii="Times New Roman" w:hAnsi="Times New Roman"/>
                <w:color w:val="FF0000"/>
                <w:sz w:val="24"/>
                <w:lang w:val="en-US" w:eastAsia="zh-CN"/>
              </w:rPr>
              <w:t>为349m</w:t>
            </w:r>
            <w:r>
              <w:rPr>
                <w:rFonts w:hint="eastAsia"/>
                <w:color w:val="FF0000"/>
                <w:sz w:val="24"/>
                <w:lang w:val="en-US" w:eastAsia="zh-CN"/>
              </w:rPr>
              <w:t>。</w:t>
            </w:r>
          </w:p>
          <w:p>
            <w:pPr>
              <w:spacing w:line="360" w:lineRule="auto"/>
              <w:ind w:firstLine="420"/>
              <w:rPr>
                <w:rFonts w:hint="eastAsia"/>
                <w:color w:val="FF0000"/>
                <w:sz w:val="24"/>
                <w:lang w:val="en-US" w:eastAsia="zh-CN"/>
              </w:rPr>
            </w:pPr>
            <w:r>
              <w:rPr>
                <w:rFonts w:hint="eastAsia"/>
                <w:color w:val="FF0000"/>
                <w:sz w:val="24"/>
                <w:lang w:val="en-US" w:eastAsia="zh-CN"/>
              </w:rPr>
              <w:t>环评要求在风机光影影响范围内不在新进学校、村庄以及民宅等敏感目标。</w:t>
            </w:r>
          </w:p>
          <w:p>
            <w:pPr>
              <w:spacing w:line="360" w:lineRule="auto"/>
              <w:ind w:firstLine="420"/>
              <w:rPr>
                <w:rFonts w:hint="eastAsia"/>
                <w:color w:val="000000" w:themeColor="text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78" w:hRule="atLeast"/>
          <w:jc w:val="center"/>
        </w:trPr>
        <w:tc>
          <w:tcPr>
            <w:tcW w:w="753" w:type="dxa"/>
            <w:noWrap w:val="0"/>
            <w:vAlign w:val="center"/>
          </w:tcPr>
          <w:p>
            <w:pPr>
              <w:adjustRightInd w:val="0"/>
              <w:snapToGrid w:val="0"/>
              <w:jc w:val="center"/>
              <w:rPr>
                <w:rFonts w:hint="default" w:ascii="Times New Roman" w:hAnsi="Times New Roman" w:cs="Times New Roman"/>
                <w:bCs/>
                <w:color w:val="000000" w:themeColor="text1"/>
                <w:spacing w:val="10"/>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环保投资</w:t>
            </w:r>
          </w:p>
        </w:tc>
        <w:tc>
          <w:tcPr>
            <w:tcW w:w="8457" w:type="dxa"/>
            <w:noWrap w:val="0"/>
            <w:vAlign w:val="top"/>
          </w:tcPr>
          <w:p>
            <w:pPr>
              <w:spacing w:line="36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项目总投资</w:t>
            </w:r>
            <w:r>
              <w:rPr>
                <w:rFonts w:hint="eastAsia"/>
                <w:color w:val="000000" w:themeColor="text1"/>
                <w:sz w:val="24"/>
                <w:szCs w:val="24"/>
                <w:lang w:val="en-US" w:eastAsia="zh-CN"/>
                <w14:textFill>
                  <w14:solidFill>
                    <w14:schemeClr w14:val="tx1"/>
                  </w14:solidFill>
                </w14:textFill>
              </w:rPr>
              <w:t>16000</w:t>
            </w:r>
            <w:r>
              <w:rPr>
                <w:rFonts w:ascii="Times New Roman" w:hAnsi="Times New Roman"/>
                <w:color w:val="000000" w:themeColor="text1"/>
                <w:sz w:val="24"/>
                <w14:textFill>
                  <w14:solidFill>
                    <w14:schemeClr w14:val="tx1"/>
                  </w14:solidFill>
                </w14:textFill>
              </w:rPr>
              <w:t>万元，环保投资预计</w:t>
            </w:r>
            <w:r>
              <w:rPr>
                <w:rFonts w:hint="eastAsia"/>
                <w:color w:val="000000" w:themeColor="text1"/>
                <w:sz w:val="24"/>
                <w:lang w:val="en-US" w:eastAsia="zh-CN"/>
                <w14:textFill>
                  <w14:solidFill>
                    <w14:schemeClr w14:val="tx1"/>
                  </w14:solidFill>
                </w14:textFill>
              </w:rPr>
              <w:t>320.5</w:t>
            </w:r>
            <w:r>
              <w:rPr>
                <w:rFonts w:ascii="Times New Roman" w:hAnsi="Times New Roman"/>
                <w:color w:val="000000" w:themeColor="text1"/>
                <w:sz w:val="24"/>
                <w14:textFill>
                  <w14:solidFill>
                    <w14:schemeClr w14:val="tx1"/>
                  </w14:solidFill>
                </w14:textFill>
              </w:rPr>
              <w:t>万元，环保投资约占总投资的</w:t>
            </w:r>
            <w:r>
              <w:rPr>
                <w:rFonts w:hint="eastAsia"/>
                <w:color w:val="000000" w:themeColor="text1"/>
                <w:sz w:val="24"/>
                <w:lang w:val="en-US" w:eastAsia="zh-CN"/>
                <w14:textFill>
                  <w14:solidFill>
                    <w14:schemeClr w14:val="tx1"/>
                  </w14:solidFill>
                </w14:textFill>
              </w:rPr>
              <w:t>2.0</w:t>
            </w:r>
            <w:r>
              <w:rPr>
                <w:rFonts w:hint="eastAsia" w:ascii="Times New Roman" w:hAnsi="Times New Roman"/>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主要包括施工期</w:t>
            </w:r>
            <w:r>
              <w:rPr>
                <w:rFonts w:hint="eastAsia"/>
                <w:color w:val="000000" w:themeColor="text1"/>
                <w:sz w:val="24"/>
                <w:lang w:val="en-US" w:eastAsia="zh-CN"/>
                <w14:textFill>
                  <w14:solidFill>
                    <w14:schemeClr w14:val="tx1"/>
                  </w14:solidFill>
                </w14:textFill>
              </w:rPr>
              <w:t>和运营期</w:t>
            </w:r>
            <w:r>
              <w:rPr>
                <w:rFonts w:ascii="Times New Roman" w:hAnsi="Times New Roman"/>
                <w:color w:val="000000" w:themeColor="text1"/>
                <w:sz w:val="24"/>
                <w14:textFill>
                  <w14:solidFill>
                    <w14:schemeClr w14:val="tx1"/>
                  </w14:solidFill>
                </w14:textFill>
              </w:rPr>
              <w:t>各项环境污染治理</w:t>
            </w:r>
            <w:r>
              <w:rPr>
                <w:rFonts w:hint="eastAsia"/>
                <w:color w:val="000000" w:themeColor="text1"/>
                <w:sz w:val="24"/>
                <w:lang w:val="en-US" w:eastAsia="zh-CN"/>
                <w14:textFill>
                  <w14:solidFill>
                    <w14:schemeClr w14:val="tx1"/>
                  </w14:solidFill>
                </w14:textFill>
              </w:rPr>
              <w:t>费用和</w:t>
            </w:r>
            <w:r>
              <w:rPr>
                <w:rFonts w:ascii="Times New Roman" w:hAnsi="Times New Roman"/>
                <w:color w:val="000000" w:themeColor="text1"/>
                <w:sz w:val="24"/>
                <w14:textFill>
                  <w14:solidFill>
                    <w14:schemeClr w14:val="tx1"/>
                  </w14:solidFill>
                </w14:textFill>
              </w:rPr>
              <w:t>生态</w:t>
            </w:r>
            <w:r>
              <w:rPr>
                <w:rFonts w:hint="eastAsia"/>
                <w:color w:val="000000" w:themeColor="text1"/>
                <w:sz w:val="24"/>
                <w:lang w:val="en-US" w:eastAsia="zh-CN"/>
                <w14:textFill>
                  <w14:solidFill>
                    <w14:schemeClr w14:val="tx1"/>
                  </w14:solidFill>
                </w14:textFill>
              </w:rPr>
              <w:t>恢复措施费用</w:t>
            </w:r>
            <w:r>
              <w:rPr>
                <w:rFonts w:ascii="Times New Roman" w:hAnsi="Times New Roman"/>
                <w:color w:val="000000" w:themeColor="text1"/>
                <w:sz w:val="24"/>
                <w14:textFill>
                  <w14:solidFill>
                    <w14:schemeClr w14:val="tx1"/>
                  </w14:solidFill>
                </w14:textFill>
              </w:rPr>
              <w:t>。主要环保设施及投资额见表</w:t>
            </w:r>
            <w:r>
              <w:rPr>
                <w:rFonts w:hint="eastAsia"/>
                <w:color w:val="000000" w:themeColor="text1"/>
                <w:sz w:val="24"/>
                <w:lang w:val="en-US" w:eastAsia="zh-CN"/>
                <w14:textFill>
                  <w14:solidFill>
                    <w14:schemeClr w14:val="tx1"/>
                  </w14:solidFill>
                </w14:textFill>
              </w:rPr>
              <w:t>5</w:t>
            </w:r>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6</w:t>
            </w:r>
            <w:r>
              <w:rPr>
                <w:rFonts w:ascii="Times New Roman" w:hAnsi="Times New Roman"/>
                <w:color w:val="000000" w:themeColor="text1"/>
                <w:sz w:val="24"/>
                <w14:textFill>
                  <w14:solidFill>
                    <w14:schemeClr w14:val="tx1"/>
                  </w14:solidFill>
                </w14:textFill>
              </w:rPr>
              <w:t>。</w:t>
            </w:r>
          </w:p>
          <w:p>
            <w:pPr>
              <w:pStyle w:val="44"/>
              <w:spacing w:line="240" w:lineRule="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表</w:t>
            </w:r>
            <w:r>
              <w:rPr>
                <w:rFonts w:hint="eastAsia" w:eastAsia="宋体"/>
                <w:color w:val="000000" w:themeColor="text1"/>
                <w:lang w:val="en-US" w:eastAsia="zh-CN"/>
                <w14:textFill>
                  <w14:solidFill>
                    <w14:schemeClr w14:val="tx1"/>
                  </w14:solidFill>
                </w14:textFill>
              </w:rPr>
              <w:t>5</w:t>
            </w:r>
            <w:r>
              <w:rPr>
                <w:rFonts w:ascii="Times New Roman" w:hAnsi="Times New Roman" w:eastAsia="宋体"/>
                <w:color w:val="000000" w:themeColor="text1"/>
                <w14:textFill>
                  <w14:solidFill>
                    <w14:schemeClr w14:val="tx1"/>
                  </w14:solidFill>
                </w14:textFill>
              </w:rPr>
              <w:t>-</w:t>
            </w:r>
            <w:r>
              <w:rPr>
                <w:rFonts w:hint="eastAsia" w:eastAsia="宋体"/>
                <w:color w:val="000000" w:themeColor="text1"/>
                <w:lang w:val="en-US" w:eastAsia="zh-CN"/>
                <w14:textFill>
                  <w14:solidFill>
                    <w14:schemeClr w14:val="tx1"/>
                  </w14:solidFill>
                </w14:textFill>
              </w:rPr>
              <w:t>6</w:t>
            </w:r>
            <w:r>
              <w:rPr>
                <w:rFonts w:ascii="Times New Roman" w:hAnsi="Times New Roman" w:eastAsia="宋体"/>
                <w:color w:val="000000" w:themeColor="text1"/>
                <w14:textFill>
                  <w14:solidFill>
                    <w14:schemeClr w14:val="tx1"/>
                  </w14:solidFill>
                </w14:textFill>
              </w:rPr>
              <w:t xml:space="preserve">  主要环保设施投资</w:t>
            </w:r>
          </w:p>
          <w:tbl>
            <w:tblPr>
              <w:tblStyle w:val="18"/>
              <w:tblW w:w="82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29"/>
              <w:gridCol w:w="1156"/>
              <w:gridCol w:w="1158"/>
              <w:gridCol w:w="2285"/>
              <w:gridCol w:w="1143"/>
              <w:gridCol w:w="790"/>
              <w:gridCol w:w="1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2" w:hRule="atLeast"/>
                <w:jc w:val="center"/>
              </w:trPr>
              <w:tc>
                <w:tcPr>
                  <w:tcW w:w="2943" w:type="dxa"/>
                  <w:gridSpan w:val="3"/>
                  <w:tcBorders>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污染源</w:t>
                  </w:r>
                </w:p>
              </w:tc>
              <w:tc>
                <w:tcPr>
                  <w:tcW w:w="2285" w:type="dxa"/>
                  <w:tcBorders>
                    <w:left w:val="single" w:color="auto" w:sz="4" w:space="0"/>
                    <w:right w:val="single" w:color="auto" w:sz="4" w:space="0"/>
                  </w:tcBorders>
                  <w:vAlign w:val="center"/>
                </w:tcPr>
                <w:p>
                  <w:pPr>
                    <w:spacing w:line="240" w:lineRule="exact"/>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ascii="Times New Roman" w:hAnsi="Times New Roman"/>
                      <w:color w:val="000000" w:themeColor="text1"/>
                      <w:szCs w:val="21"/>
                      <w14:textFill>
                        <w14:solidFill>
                          <w14:schemeClr w14:val="tx1"/>
                        </w14:solidFill>
                      </w14:textFill>
                    </w:rPr>
                    <w:t>环保措施</w:t>
                  </w:r>
                  <w:r>
                    <w:rPr>
                      <w:rFonts w:hint="eastAsia"/>
                      <w:color w:val="000000" w:themeColor="text1"/>
                      <w:szCs w:val="21"/>
                      <w:lang w:val="en-US" w:eastAsia="zh-CN"/>
                      <w14:textFill>
                        <w14:solidFill>
                          <w14:schemeClr w14:val="tx1"/>
                        </w14:solidFill>
                      </w14:textFill>
                    </w:rPr>
                    <w:t>内容</w:t>
                  </w:r>
                </w:p>
              </w:tc>
              <w:tc>
                <w:tcPr>
                  <w:tcW w:w="1143" w:type="dxa"/>
                  <w:tcBorders>
                    <w:lef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规格</w:t>
                  </w:r>
                </w:p>
              </w:tc>
              <w:tc>
                <w:tcPr>
                  <w:tcW w:w="790" w:type="dxa"/>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数量</w:t>
                  </w:r>
                </w:p>
              </w:tc>
              <w:tc>
                <w:tcPr>
                  <w:tcW w:w="1115" w:type="dxa"/>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投资额（万元）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629" w:type="dxa"/>
                  <w:vMerge w:val="restart"/>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施工期</w:t>
                  </w:r>
                </w:p>
              </w:tc>
              <w:tc>
                <w:tcPr>
                  <w:tcW w:w="1156" w:type="dxa"/>
                  <w:tcBorders>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废气</w:t>
                  </w:r>
                </w:p>
              </w:tc>
              <w:tc>
                <w:tcPr>
                  <w:tcW w:w="1158" w:type="dxa"/>
                  <w:tcBorders>
                    <w:left w:val="single" w:color="auto" w:sz="4" w:space="0"/>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施工扬尘</w:t>
                  </w:r>
                </w:p>
              </w:tc>
              <w:tc>
                <w:tcPr>
                  <w:tcW w:w="2285" w:type="dxa"/>
                  <w:tcBorders>
                    <w:left w:val="single" w:color="auto" w:sz="4" w:space="0"/>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施工</w:t>
                  </w:r>
                  <w:r>
                    <w:rPr>
                      <w:rFonts w:hint="eastAsia"/>
                      <w:color w:val="000000" w:themeColor="text1"/>
                      <w:szCs w:val="21"/>
                      <w:lang w:val="en-US" w:eastAsia="zh-CN"/>
                      <w14:textFill>
                        <w14:solidFill>
                          <w14:schemeClr w14:val="tx1"/>
                        </w14:solidFill>
                      </w14:textFill>
                    </w:rPr>
                    <w:t>厂界</w:t>
                  </w:r>
                  <w:r>
                    <w:rPr>
                      <w:rFonts w:ascii="Times New Roman" w:hAnsi="Times New Roman"/>
                      <w:color w:val="000000" w:themeColor="text1"/>
                      <w:szCs w:val="21"/>
                      <w14:textFill>
                        <w14:solidFill>
                          <w14:schemeClr w14:val="tx1"/>
                        </w14:solidFill>
                      </w14:textFill>
                    </w:rPr>
                    <w:t>临时围挡、防尘网、洒水喷淋装置</w:t>
                  </w:r>
                </w:p>
              </w:tc>
              <w:tc>
                <w:tcPr>
                  <w:tcW w:w="1143" w:type="dxa"/>
                  <w:tcBorders>
                    <w:lef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c>
                <w:tcPr>
                  <w:tcW w:w="790" w:type="dxa"/>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c>
                <w:tcPr>
                  <w:tcW w:w="1115" w:type="dxa"/>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629" w:type="dxa"/>
                  <w:vMerge w:val="continue"/>
                  <w:vAlign w:val="center"/>
                </w:tcPr>
                <w:p>
                  <w:pPr>
                    <w:spacing w:line="240" w:lineRule="exact"/>
                    <w:jc w:val="center"/>
                    <w:rPr>
                      <w:rFonts w:ascii="Times New Roman" w:hAnsi="Times New Roman"/>
                      <w:color w:val="000000" w:themeColor="text1"/>
                      <w:szCs w:val="21"/>
                      <w14:textFill>
                        <w14:solidFill>
                          <w14:schemeClr w14:val="tx1"/>
                        </w14:solidFill>
                      </w14:textFill>
                    </w:rPr>
                  </w:pPr>
                </w:p>
              </w:tc>
              <w:tc>
                <w:tcPr>
                  <w:tcW w:w="1156" w:type="dxa"/>
                  <w:tcBorders>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废水</w:t>
                  </w:r>
                </w:p>
              </w:tc>
              <w:tc>
                <w:tcPr>
                  <w:tcW w:w="1158" w:type="dxa"/>
                  <w:tcBorders>
                    <w:left w:val="single" w:color="auto" w:sz="4" w:space="0"/>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施工废水</w:t>
                  </w:r>
                </w:p>
              </w:tc>
              <w:tc>
                <w:tcPr>
                  <w:tcW w:w="2285" w:type="dxa"/>
                  <w:tcBorders>
                    <w:left w:val="single" w:color="auto" w:sz="4" w:space="0"/>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施工废水沉淀池</w:t>
                  </w:r>
                </w:p>
              </w:tc>
              <w:tc>
                <w:tcPr>
                  <w:tcW w:w="1143" w:type="dxa"/>
                  <w:tcBorders>
                    <w:lef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不小于</w:t>
                  </w:r>
                  <w:r>
                    <w:rPr>
                      <w:rFonts w:hint="eastAsia"/>
                      <w:color w:val="000000" w:themeColor="text1"/>
                      <w:szCs w:val="21"/>
                      <w:lang w:val="en-US" w:eastAsia="zh-CN"/>
                      <w14:textFill>
                        <w14:solidFill>
                          <w14:schemeClr w14:val="tx1"/>
                        </w14:solidFill>
                      </w14:textFill>
                    </w:rPr>
                    <w:t>8</w:t>
                  </w:r>
                  <w:r>
                    <w:rPr>
                      <w:rFonts w:ascii="Times New Roman" w:hAnsi="Times New Roman"/>
                      <w:color w:val="000000" w:themeColor="text1"/>
                      <w:szCs w:val="21"/>
                      <w14:textFill>
                        <w14:solidFill>
                          <w14:schemeClr w14:val="tx1"/>
                        </w14:solidFill>
                      </w14:textFill>
                    </w:rPr>
                    <w:t>m</w:t>
                  </w:r>
                  <w:r>
                    <w:rPr>
                      <w:rFonts w:ascii="Times New Roman" w:hAnsi="Times New Roman"/>
                      <w:color w:val="000000" w:themeColor="text1"/>
                      <w:szCs w:val="21"/>
                      <w:vertAlign w:val="superscript"/>
                      <w14:textFill>
                        <w14:solidFill>
                          <w14:schemeClr w14:val="tx1"/>
                        </w14:solidFill>
                      </w14:textFill>
                    </w:rPr>
                    <w:t>3</w:t>
                  </w:r>
                  <w:r>
                    <w:rPr>
                      <w:rFonts w:ascii="Times New Roman" w:hAnsi="Times New Roman"/>
                      <w:color w:val="000000" w:themeColor="text1"/>
                      <w:szCs w:val="21"/>
                      <w14:textFill>
                        <w14:solidFill>
                          <w14:schemeClr w14:val="tx1"/>
                        </w14:solidFill>
                      </w14:textFill>
                    </w:rPr>
                    <w:t>/d</w:t>
                  </w:r>
                </w:p>
              </w:tc>
              <w:tc>
                <w:tcPr>
                  <w:tcW w:w="790" w:type="dxa"/>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p>
              </w:tc>
              <w:tc>
                <w:tcPr>
                  <w:tcW w:w="1115" w:type="dxa"/>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1" w:hRule="atLeast"/>
                <w:jc w:val="center"/>
              </w:trPr>
              <w:tc>
                <w:tcPr>
                  <w:tcW w:w="629" w:type="dxa"/>
                  <w:vMerge w:val="continue"/>
                  <w:vAlign w:val="center"/>
                </w:tcPr>
                <w:p>
                  <w:pPr>
                    <w:spacing w:line="240" w:lineRule="exact"/>
                    <w:jc w:val="center"/>
                    <w:rPr>
                      <w:rFonts w:ascii="Times New Roman" w:hAnsi="Times New Roman"/>
                      <w:color w:val="000000" w:themeColor="text1"/>
                      <w:szCs w:val="21"/>
                      <w14:textFill>
                        <w14:solidFill>
                          <w14:schemeClr w14:val="tx1"/>
                        </w14:solidFill>
                      </w14:textFill>
                    </w:rPr>
                  </w:pPr>
                </w:p>
              </w:tc>
              <w:tc>
                <w:tcPr>
                  <w:tcW w:w="1156" w:type="dxa"/>
                  <w:tcBorders>
                    <w:right w:val="single" w:color="auto" w:sz="4" w:space="0"/>
                  </w:tcBorders>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噪声</w:t>
                  </w:r>
                </w:p>
              </w:tc>
              <w:tc>
                <w:tcPr>
                  <w:tcW w:w="1158" w:type="dxa"/>
                  <w:tcBorders>
                    <w:left w:val="single" w:color="auto" w:sz="4" w:space="0"/>
                    <w:right w:val="single" w:color="auto" w:sz="4" w:space="0"/>
                  </w:tcBorders>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挖掘机、振捣机</w:t>
                  </w:r>
                </w:p>
              </w:tc>
              <w:tc>
                <w:tcPr>
                  <w:tcW w:w="2285" w:type="dxa"/>
                  <w:tcBorders>
                    <w:left w:val="single" w:color="auto" w:sz="4" w:space="0"/>
                    <w:right w:val="single" w:color="auto" w:sz="4" w:space="0"/>
                  </w:tcBorders>
                  <w:vAlign w:val="center"/>
                </w:tcPr>
                <w:p>
                  <w:pPr>
                    <w:spacing w:line="240" w:lineRule="exact"/>
                    <w:jc w:val="center"/>
                    <w:rPr>
                      <w:rFonts w:hint="default" w:ascii="Times New Roman" w:hAnsi="Times New Roman"/>
                      <w:color w:val="000000" w:themeColor="text1"/>
                      <w:szCs w:val="21"/>
                      <w:lang w:val="en-US"/>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采用低噪声机械设备</w:t>
                  </w:r>
                </w:p>
              </w:tc>
              <w:tc>
                <w:tcPr>
                  <w:tcW w:w="1143" w:type="dxa"/>
                  <w:tcBorders>
                    <w:left w:val="single" w:color="auto" w:sz="4" w:space="0"/>
                  </w:tcBorders>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90" w:type="dxa"/>
                  <w:vAlign w:val="center"/>
                </w:tcPr>
                <w:p>
                  <w:pPr>
                    <w:spacing w:line="240" w:lineRule="exact"/>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1115" w:type="dxa"/>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1" w:hRule="atLeast"/>
                <w:jc w:val="center"/>
              </w:trPr>
              <w:tc>
                <w:tcPr>
                  <w:tcW w:w="629" w:type="dxa"/>
                  <w:vMerge w:val="continue"/>
                  <w:vAlign w:val="center"/>
                </w:tcPr>
                <w:p>
                  <w:pPr>
                    <w:spacing w:line="240" w:lineRule="exact"/>
                    <w:jc w:val="center"/>
                    <w:rPr>
                      <w:rFonts w:ascii="Times New Roman" w:hAnsi="Times New Roman"/>
                      <w:color w:val="000000" w:themeColor="text1"/>
                      <w:szCs w:val="21"/>
                      <w14:textFill>
                        <w14:solidFill>
                          <w14:schemeClr w14:val="tx1"/>
                        </w14:solidFill>
                      </w14:textFill>
                    </w:rPr>
                  </w:pPr>
                </w:p>
              </w:tc>
              <w:tc>
                <w:tcPr>
                  <w:tcW w:w="1156" w:type="dxa"/>
                  <w:tcBorders>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固体废物</w:t>
                  </w:r>
                </w:p>
              </w:tc>
              <w:tc>
                <w:tcPr>
                  <w:tcW w:w="1158" w:type="dxa"/>
                  <w:tcBorders>
                    <w:left w:val="single" w:color="auto" w:sz="4" w:space="0"/>
                    <w:right w:val="single" w:color="auto" w:sz="4" w:space="0"/>
                  </w:tcBorders>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ascii="Times New Roman" w:hAnsi="Times New Roman"/>
                      <w:color w:val="000000" w:themeColor="text1"/>
                      <w:szCs w:val="21"/>
                      <w14:textFill>
                        <w14:solidFill>
                          <w14:schemeClr w14:val="tx1"/>
                        </w14:solidFill>
                      </w14:textFill>
                    </w:rPr>
                    <w:t>生活垃圾</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建筑垃圾</w:t>
                  </w:r>
                </w:p>
              </w:tc>
              <w:tc>
                <w:tcPr>
                  <w:tcW w:w="2285" w:type="dxa"/>
                  <w:tcBorders>
                    <w:left w:val="single" w:color="auto" w:sz="4" w:space="0"/>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垃圾桶、垃圾清运处置费用</w:t>
                  </w:r>
                </w:p>
              </w:tc>
              <w:tc>
                <w:tcPr>
                  <w:tcW w:w="1143" w:type="dxa"/>
                  <w:tcBorders>
                    <w:lef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c>
                <w:tcPr>
                  <w:tcW w:w="790" w:type="dxa"/>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若干</w:t>
                  </w:r>
                </w:p>
              </w:tc>
              <w:tc>
                <w:tcPr>
                  <w:tcW w:w="1115" w:type="dxa"/>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ascii="Times New Roman" w:hAnsi="Times New Roman"/>
                      <w:color w:val="000000" w:themeColor="text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629" w:type="dxa"/>
                  <w:vMerge w:val="continue"/>
                  <w:vAlign w:val="center"/>
                </w:tcPr>
                <w:p>
                  <w:pPr>
                    <w:spacing w:line="240" w:lineRule="exact"/>
                    <w:jc w:val="center"/>
                    <w:rPr>
                      <w:rFonts w:ascii="Times New Roman" w:hAnsi="Times New Roman"/>
                      <w:color w:val="000000" w:themeColor="text1"/>
                      <w:szCs w:val="21"/>
                      <w14:textFill>
                        <w14:solidFill>
                          <w14:schemeClr w14:val="tx1"/>
                        </w14:solidFill>
                      </w14:textFill>
                    </w:rPr>
                  </w:pPr>
                </w:p>
              </w:tc>
              <w:tc>
                <w:tcPr>
                  <w:tcW w:w="1156" w:type="dxa"/>
                  <w:vMerge w:val="restart"/>
                  <w:tcBorders>
                    <w:right w:val="single" w:color="auto" w:sz="4" w:space="0"/>
                  </w:tcBorders>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生态</w:t>
                  </w:r>
                </w:p>
              </w:tc>
              <w:tc>
                <w:tcPr>
                  <w:tcW w:w="1158" w:type="dxa"/>
                  <w:tcBorders>
                    <w:left w:val="single" w:color="auto" w:sz="4" w:space="0"/>
                    <w:right w:val="single" w:color="auto" w:sz="4" w:space="0"/>
                  </w:tcBorders>
                  <w:vAlign w:val="center"/>
                </w:tcPr>
                <w:p>
                  <w:pPr>
                    <w:spacing w:line="240" w:lineRule="exact"/>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临时占地</w:t>
                  </w:r>
                </w:p>
              </w:tc>
              <w:tc>
                <w:tcPr>
                  <w:tcW w:w="2285" w:type="dxa"/>
                  <w:tcBorders>
                    <w:left w:val="single" w:color="auto" w:sz="4" w:space="0"/>
                    <w:right w:val="single" w:color="auto" w:sz="4" w:space="0"/>
                  </w:tcBorders>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临时占地恢复费用</w:t>
                  </w:r>
                </w:p>
              </w:tc>
              <w:tc>
                <w:tcPr>
                  <w:tcW w:w="1143" w:type="dxa"/>
                  <w:tcBorders>
                    <w:left w:val="single" w:color="auto" w:sz="4" w:space="0"/>
                  </w:tcBorders>
                  <w:vAlign w:val="center"/>
                </w:tcPr>
                <w:p>
                  <w:pPr>
                    <w:spacing w:line="240" w:lineRule="exact"/>
                    <w:jc w:val="center"/>
                    <w:rPr>
                      <w:rFonts w:hint="default" w:ascii="Times New Roman" w:hAnsi="Times New Roman"/>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90" w:type="dxa"/>
                  <w:vAlign w:val="center"/>
                </w:tcPr>
                <w:p>
                  <w:pPr>
                    <w:spacing w:line="240" w:lineRule="exact"/>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1115" w:type="dxa"/>
                  <w:vMerge w:val="restart"/>
                  <w:vAlign w:val="center"/>
                </w:tcPr>
                <w:p>
                  <w:pPr>
                    <w:spacing w:line="24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629" w:type="dxa"/>
                  <w:vMerge w:val="continue"/>
                  <w:vAlign w:val="center"/>
                </w:tcPr>
                <w:p>
                  <w:pPr>
                    <w:spacing w:line="240" w:lineRule="exact"/>
                    <w:jc w:val="center"/>
                    <w:rPr>
                      <w:rFonts w:ascii="Times New Roman" w:hAnsi="Times New Roman"/>
                      <w:color w:val="000000" w:themeColor="text1"/>
                      <w:szCs w:val="21"/>
                      <w14:textFill>
                        <w14:solidFill>
                          <w14:schemeClr w14:val="tx1"/>
                        </w14:solidFill>
                      </w14:textFill>
                    </w:rPr>
                  </w:pPr>
                </w:p>
              </w:tc>
              <w:tc>
                <w:tcPr>
                  <w:tcW w:w="1156" w:type="dxa"/>
                  <w:vMerge w:val="continue"/>
                  <w:tcBorders>
                    <w:right w:val="single" w:color="auto" w:sz="4" w:space="0"/>
                  </w:tcBorders>
                  <w:vAlign w:val="center"/>
                </w:tcPr>
                <w:p>
                  <w:pPr>
                    <w:spacing w:line="240" w:lineRule="exact"/>
                    <w:jc w:val="center"/>
                    <w:rPr>
                      <w:rFonts w:hint="eastAsia"/>
                      <w:color w:val="000000" w:themeColor="text1"/>
                      <w:szCs w:val="21"/>
                      <w:lang w:val="en-US" w:eastAsia="zh-CN"/>
                      <w14:textFill>
                        <w14:solidFill>
                          <w14:schemeClr w14:val="tx1"/>
                        </w14:solidFill>
                      </w14:textFill>
                    </w:rPr>
                  </w:pPr>
                </w:p>
              </w:tc>
              <w:tc>
                <w:tcPr>
                  <w:tcW w:w="1158" w:type="dxa"/>
                  <w:tcBorders>
                    <w:left w:val="single" w:color="auto" w:sz="4" w:space="0"/>
                    <w:right w:val="single" w:color="auto" w:sz="4" w:space="0"/>
                  </w:tcBorders>
                  <w:vAlign w:val="center"/>
                </w:tcPr>
                <w:p>
                  <w:pPr>
                    <w:spacing w:line="24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永久占地</w:t>
                  </w:r>
                </w:p>
              </w:tc>
              <w:tc>
                <w:tcPr>
                  <w:tcW w:w="2285" w:type="dxa"/>
                  <w:tcBorders>
                    <w:left w:val="single" w:color="auto" w:sz="4" w:space="0"/>
                    <w:right w:val="single" w:color="auto" w:sz="4" w:space="0"/>
                  </w:tcBorders>
                  <w:vAlign w:val="center"/>
                </w:tcPr>
                <w:p>
                  <w:pPr>
                    <w:spacing w:line="24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异地补偿</w:t>
                  </w:r>
                </w:p>
              </w:tc>
              <w:tc>
                <w:tcPr>
                  <w:tcW w:w="1143" w:type="dxa"/>
                  <w:tcBorders>
                    <w:left w:val="single" w:color="auto" w:sz="4" w:space="0"/>
                  </w:tcBorders>
                  <w:vAlign w:val="center"/>
                </w:tcPr>
                <w:p>
                  <w:pPr>
                    <w:spacing w:line="24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90" w:type="dxa"/>
                  <w:vAlign w:val="center"/>
                </w:tcPr>
                <w:p>
                  <w:pPr>
                    <w:spacing w:line="24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1115" w:type="dxa"/>
                  <w:vMerge w:val="continue"/>
                  <w:vAlign w:val="center"/>
                </w:tcPr>
                <w:p>
                  <w:pPr>
                    <w:spacing w:line="240" w:lineRule="exact"/>
                    <w:jc w:val="center"/>
                    <w:rPr>
                      <w:rFonts w:hint="default"/>
                      <w:color w:val="000000" w:themeColor="text1"/>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629" w:type="dxa"/>
                  <w:vMerge w:val="restart"/>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运行期</w:t>
                  </w:r>
                </w:p>
              </w:tc>
              <w:tc>
                <w:tcPr>
                  <w:tcW w:w="1156" w:type="dxa"/>
                  <w:vMerge w:val="restart"/>
                  <w:tcBorders>
                    <w:right w:val="single" w:color="auto" w:sz="4" w:space="0"/>
                  </w:tcBorders>
                  <w:vAlign w:val="center"/>
                </w:tcPr>
                <w:p>
                  <w:pPr>
                    <w:keepNext w:val="0"/>
                    <w:keepLines w:val="0"/>
                    <w:widowControl/>
                    <w:suppressLineNumbers w:val="0"/>
                    <w:jc w:val="center"/>
                    <w:rPr>
                      <w:rFonts w:ascii="Times New Roman" w:hAnsi="Times New Roman"/>
                      <w:color w:val="000000" w:themeColor="text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噪声</w:t>
                  </w:r>
                </w:p>
              </w:tc>
              <w:tc>
                <w:tcPr>
                  <w:tcW w:w="1158" w:type="dxa"/>
                  <w:tcBorders>
                    <w:left w:val="single" w:color="auto" w:sz="4" w:space="0"/>
                    <w:right w:val="single" w:color="auto" w:sz="4" w:space="0"/>
                  </w:tcBorders>
                  <w:vAlign w:val="center"/>
                </w:tcPr>
                <w:p>
                  <w:pPr>
                    <w:keepNext w:val="0"/>
                    <w:keepLines w:val="0"/>
                    <w:widowControl/>
                    <w:suppressLineNumbers w:val="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风电机组、箱变</w:t>
                  </w:r>
                </w:p>
              </w:tc>
              <w:tc>
                <w:tcPr>
                  <w:tcW w:w="2285" w:type="dxa"/>
                  <w:tcBorders>
                    <w:left w:val="single" w:color="auto" w:sz="4" w:space="0"/>
                    <w:right w:val="single" w:color="auto" w:sz="4" w:space="0"/>
                  </w:tcBorders>
                  <w:vAlign w:val="center"/>
                </w:tcPr>
                <w:p>
                  <w:pPr>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选用低噪声设备，风电机选用隔音防振型，变</w:t>
                  </w:r>
                </w:p>
                <w:p>
                  <w:pPr>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速齿轮箱为减噪型，</w:t>
                  </w:r>
                </w:p>
                <w:p>
                  <w:pPr>
                    <w:spacing w:line="2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叶片选用减速叶片等</w:t>
                  </w:r>
                </w:p>
              </w:tc>
              <w:tc>
                <w:tcPr>
                  <w:tcW w:w="1143" w:type="dxa"/>
                  <w:tcBorders>
                    <w:left w:val="single" w:color="auto" w:sz="4" w:space="0"/>
                  </w:tcBorders>
                  <w:vAlign w:val="center"/>
                </w:tcPr>
                <w:p>
                  <w:pPr>
                    <w:spacing w:line="240" w:lineRule="exact"/>
                    <w:jc w:val="center"/>
                    <w:rPr>
                      <w:rFonts w:hint="default" w:ascii="Times New Roman" w:hAnsi="Times New Roman"/>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90" w:type="dxa"/>
                  <w:vAlign w:val="center"/>
                </w:tcPr>
                <w:p>
                  <w:pPr>
                    <w:spacing w:line="240" w:lineRule="exact"/>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1115" w:type="dxa"/>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纳入工程主体投资中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629" w:type="dxa"/>
                  <w:vMerge w:val="continue"/>
                  <w:vAlign w:val="center"/>
                </w:tcPr>
                <w:p>
                  <w:pPr>
                    <w:spacing w:line="240" w:lineRule="exact"/>
                    <w:jc w:val="center"/>
                    <w:rPr>
                      <w:rFonts w:ascii="Times New Roman" w:hAnsi="Times New Roman"/>
                      <w:color w:val="000000" w:themeColor="text1"/>
                      <w:szCs w:val="21"/>
                      <w14:textFill>
                        <w14:solidFill>
                          <w14:schemeClr w14:val="tx1"/>
                        </w14:solidFill>
                      </w14:textFill>
                    </w:rPr>
                  </w:pPr>
                </w:p>
              </w:tc>
              <w:tc>
                <w:tcPr>
                  <w:tcW w:w="1156" w:type="dxa"/>
                  <w:vMerge w:val="continue"/>
                  <w:tcBorders>
                    <w:right w:val="single" w:color="auto" w:sz="4" w:space="0"/>
                  </w:tcBorders>
                  <w:vAlign w:val="center"/>
                </w:tcPr>
                <w:p>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p>
              </w:tc>
              <w:tc>
                <w:tcPr>
                  <w:tcW w:w="1158" w:type="dxa"/>
                  <w:tcBorders>
                    <w:left w:val="single" w:color="auto" w:sz="4" w:space="0"/>
                    <w:right w:val="single" w:color="auto" w:sz="4" w:space="0"/>
                  </w:tcBorders>
                  <w:vAlign w:val="center"/>
                </w:tcPr>
                <w:p>
                  <w:pPr>
                    <w:keepNext w:val="0"/>
                    <w:keepLines w:val="0"/>
                    <w:widowControl/>
                    <w:suppressLineNumbers w:val="0"/>
                    <w:jc w:val="left"/>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35</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kV</w:t>
                  </w:r>
                  <w:r>
                    <w:rPr>
                      <w:rFonts w:hint="eastAsia" w:cs="Times New Roman"/>
                      <w:color w:val="000000" w:themeColor="text1"/>
                      <w:kern w:val="0"/>
                      <w:sz w:val="21"/>
                      <w:szCs w:val="21"/>
                      <w:lang w:val="en-US" w:eastAsia="zh-CN" w:bidi="ar"/>
                      <w14:textFill>
                        <w14:solidFill>
                          <w14:schemeClr w14:val="tx1"/>
                        </w14:solidFill>
                      </w14:textFill>
                    </w:rPr>
                    <w:t>开关站</w:t>
                  </w:r>
                </w:p>
              </w:tc>
              <w:tc>
                <w:tcPr>
                  <w:tcW w:w="2285" w:type="dxa"/>
                  <w:tcBorders>
                    <w:left w:val="single" w:color="auto" w:sz="4" w:space="0"/>
                    <w:right w:val="single" w:color="auto" w:sz="4" w:space="0"/>
                  </w:tcBorders>
                  <w:vAlign w:val="center"/>
                </w:tcPr>
                <w:p>
                  <w:pPr>
                    <w:spacing w:line="24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隔声减震</w:t>
                  </w:r>
                </w:p>
              </w:tc>
              <w:tc>
                <w:tcPr>
                  <w:tcW w:w="1143" w:type="dxa"/>
                  <w:tcBorders>
                    <w:left w:val="single" w:color="auto" w:sz="4" w:space="0"/>
                  </w:tcBorders>
                  <w:vAlign w:val="center"/>
                </w:tcPr>
                <w:p>
                  <w:pPr>
                    <w:spacing w:line="24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90" w:type="dxa"/>
                  <w:vAlign w:val="center"/>
                </w:tcPr>
                <w:p>
                  <w:pPr>
                    <w:spacing w:line="24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1115" w:type="dxa"/>
                  <w:vAlign w:val="center"/>
                </w:tcPr>
                <w:p>
                  <w:pPr>
                    <w:spacing w:line="240" w:lineRule="exact"/>
                    <w:jc w:val="center"/>
                    <w:rPr>
                      <w:rFonts w:hint="default"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纳入工程主体投资中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629" w:type="dxa"/>
                  <w:vMerge w:val="continue"/>
                  <w:vAlign w:val="center"/>
                </w:tcPr>
                <w:p>
                  <w:pPr>
                    <w:spacing w:line="240" w:lineRule="exact"/>
                    <w:jc w:val="center"/>
                    <w:rPr>
                      <w:rFonts w:ascii="Times New Roman" w:hAnsi="Times New Roman"/>
                      <w:color w:val="000000" w:themeColor="text1"/>
                      <w:szCs w:val="21"/>
                      <w14:textFill>
                        <w14:solidFill>
                          <w14:schemeClr w14:val="tx1"/>
                        </w14:solidFill>
                      </w14:textFill>
                    </w:rPr>
                  </w:pPr>
                </w:p>
              </w:tc>
              <w:tc>
                <w:tcPr>
                  <w:tcW w:w="1156" w:type="dxa"/>
                  <w:tcBorders>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固废</w:t>
                  </w:r>
                </w:p>
              </w:tc>
              <w:tc>
                <w:tcPr>
                  <w:tcW w:w="1158" w:type="dxa"/>
                  <w:tcBorders>
                    <w:left w:val="single" w:color="auto" w:sz="4" w:space="0"/>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危险废物</w:t>
                  </w:r>
                </w:p>
              </w:tc>
              <w:tc>
                <w:tcPr>
                  <w:tcW w:w="2285" w:type="dxa"/>
                  <w:tcBorders>
                    <w:left w:val="single" w:color="auto" w:sz="4" w:space="0"/>
                    <w:right w:val="single" w:color="auto" w:sz="4" w:space="0"/>
                  </w:tcBorders>
                  <w:vAlign w:val="center"/>
                </w:tcPr>
                <w:p>
                  <w:pPr>
                    <w:spacing w:line="24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Cs w:val="21"/>
                      <w14:textFill>
                        <w14:solidFill>
                          <w14:schemeClr w14:val="tx1"/>
                        </w14:solidFill>
                      </w14:textFill>
                    </w:rPr>
                    <w:t>危险废物暂存间一座</w:t>
                  </w:r>
                </w:p>
              </w:tc>
              <w:tc>
                <w:tcPr>
                  <w:tcW w:w="1143" w:type="dxa"/>
                  <w:tcBorders>
                    <w:left w:val="single" w:color="auto" w:sz="4" w:space="0"/>
                  </w:tcBorders>
                  <w:vAlign w:val="center"/>
                </w:tcPr>
                <w:p>
                  <w:pPr>
                    <w:spacing w:line="24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Cs w:val="21"/>
                      <w14:textFill>
                        <w14:solidFill>
                          <w14:schemeClr w14:val="tx1"/>
                        </w14:solidFill>
                      </w14:textFill>
                    </w:rPr>
                    <w:t>10m</w:t>
                  </w:r>
                  <w:r>
                    <w:rPr>
                      <w:rFonts w:ascii="Times New Roman" w:hAnsi="Times New Roman"/>
                      <w:color w:val="000000" w:themeColor="text1"/>
                      <w:szCs w:val="21"/>
                      <w:vertAlign w:val="superscript"/>
                      <w14:textFill>
                        <w14:solidFill>
                          <w14:schemeClr w14:val="tx1"/>
                        </w14:solidFill>
                      </w14:textFill>
                    </w:rPr>
                    <w:t>3</w:t>
                  </w:r>
                </w:p>
              </w:tc>
              <w:tc>
                <w:tcPr>
                  <w:tcW w:w="790" w:type="dxa"/>
                  <w:vAlign w:val="center"/>
                </w:tcPr>
                <w:p>
                  <w:pPr>
                    <w:spacing w:line="240" w:lineRule="exac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p>
              </w:tc>
              <w:tc>
                <w:tcPr>
                  <w:tcW w:w="1115" w:type="dxa"/>
                  <w:vAlign w:val="center"/>
                </w:tcPr>
                <w:p>
                  <w:pPr>
                    <w:spacing w:line="24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Cs w:val="21"/>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629" w:type="dxa"/>
                  <w:vMerge w:val="continue"/>
                  <w:vAlign w:val="center"/>
                </w:tcPr>
                <w:p>
                  <w:pPr>
                    <w:spacing w:line="240" w:lineRule="exact"/>
                    <w:jc w:val="center"/>
                    <w:rPr>
                      <w:rFonts w:ascii="Times New Roman" w:hAnsi="Times New Roman"/>
                      <w:color w:val="000000" w:themeColor="text1"/>
                      <w:szCs w:val="21"/>
                      <w14:textFill>
                        <w14:solidFill>
                          <w14:schemeClr w14:val="tx1"/>
                        </w14:solidFill>
                      </w14:textFill>
                    </w:rPr>
                  </w:pPr>
                </w:p>
              </w:tc>
              <w:tc>
                <w:tcPr>
                  <w:tcW w:w="2314" w:type="dxa"/>
                  <w:gridSpan w:val="2"/>
                  <w:tcBorders>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生态</w:t>
                  </w:r>
                </w:p>
              </w:tc>
              <w:tc>
                <w:tcPr>
                  <w:tcW w:w="2285" w:type="dxa"/>
                  <w:tcBorders>
                    <w:left w:val="single" w:color="auto" w:sz="4" w:space="0"/>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风机塔套涂色</w:t>
                  </w:r>
                </w:p>
              </w:tc>
              <w:tc>
                <w:tcPr>
                  <w:tcW w:w="1143" w:type="dxa"/>
                  <w:tcBorders>
                    <w:left w:val="single" w:color="auto" w:sz="4" w:space="0"/>
                  </w:tcBorders>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790" w:type="dxa"/>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8</w:t>
                  </w:r>
                </w:p>
              </w:tc>
              <w:tc>
                <w:tcPr>
                  <w:tcW w:w="1115" w:type="dxa"/>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629" w:type="dxa"/>
                  <w:vMerge w:val="continue"/>
                  <w:vAlign w:val="center"/>
                </w:tcPr>
                <w:p>
                  <w:pPr>
                    <w:spacing w:line="240" w:lineRule="exact"/>
                    <w:jc w:val="center"/>
                    <w:rPr>
                      <w:rFonts w:ascii="Times New Roman" w:hAnsi="Times New Roman"/>
                      <w:color w:val="000000" w:themeColor="text1"/>
                      <w:szCs w:val="21"/>
                      <w14:textFill>
                        <w14:solidFill>
                          <w14:schemeClr w14:val="tx1"/>
                        </w14:solidFill>
                      </w14:textFill>
                    </w:rPr>
                  </w:pPr>
                </w:p>
              </w:tc>
              <w:tc>
                <w:tcPr>
                  <w:tcW w:w="1156" w:type="dxa"/>
                  <w:tcBorders>
                    <w:right w:val="single" w:color="auto" w:sz="4" w:space="0"/>
                  </w:tcBorders>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环境风险</w:t>
                  </w:r>
                </w:p>
              </w:tc>
              <w:tc>
                <w:tcPr>
                  <w:tcW w:w="1158" w:type="dxa"/>
                  <w:tcBorders>
                    <w:left w:val="single" w:color="auto" w:sz="4" w:space="0"/>
                    <w:right w:val="single" w:color="auto" w:sz="4" w:space="0"/>
                  </w:tcBorders>
                  <w:vAlign w:val="center"/>
                </w:tcPr>
                <w:p>
                  <w:pPr>
                    <w:spacing w:line="240" w:lineRule="exact"/>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风机</w:t>
                  </w:r>
                </w:p>
              </w:tc>
              <w:tc>
                <w:tcPr>
                  <w:tcW w:w="2285" w:type="dxa"/>
                  <w:tcBorders>
                    <w:left w:val="single" w:color="auto" w:sz="4" w:space="0"/>
                    <w:right w:val="single" w:color="auto" w:sz="4" w:space="0"/>
                  </w:tcBorders>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事故油池</w:t>
                  </w:r>
                </w:p>
              </w:tc>
              <w:tc>
                <w:tcPr>
                  <w:tcW w:w="1143" w:type="dxa"/>
                  <w:tcBorders>
                    <w:left w:val="single" w:color="auto" w:sz="4" w:space="0"/>
                  </w:tcBorders>
                  <w:vAlign w:val="center"/>
                </w:tcPr>
                <w:p>
                  <w:pPr>
                    <w:spacing w:line="24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ascii="Times New Roman" w:hAnsi="Times New Roman"/>
                      <w:color w:val="000000" w:themeColor="text1"/>
                      <w:szCs w:val="21"/>
                      <w14:textFill>
                        <w14:solidFill>
                          <w14:schemeClr w14:val="tx1"/>
                        </w14:solidFill>
                      </w14:textFill>
                    </w:rPr>
                    <w:t>m</w:t>
                  </w:r>
                  <w:r>
                    <w:rPr>
                      <w:rFonts w:ascii="Times New Roman" w:hAnsi="Times New Roman"/>
                      <w:color w:val="000000" w:themeColor="text1"/>
                      <w:szCs w:val="21"/>
                      <w:vertAlign w:val="superscript"/>
                      <w14:textFill>
                        <w14:solidFill>
                          <w14:schemeClr w14:val="tx1"/>
                        </w14:solidFill>
                      </w14:textFill>
                    </w:rPr>
                    <w:t>3</w:t>
                  </w:r>
                </w:p>
              </w:tc>
              <w:tc>
                <w:tcPr>
                  <w:tcW w:w="790" w:type="dxa"/>
                  <w:vAlign w:val="center"/>
                </w:tcPr>
                <w:p>
                  <w:pPr>
                    <w:spacing w:line="240" w:lineRule="exac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8</w:t>
                  </w:r>
                </w:p>
              </w:tc>
              <w:tc>
                <w:tcPr>
                  <w:tcW w:w="1115" w:type="dxa"/>
                  <w:vAlign w:val="center"/>
                </w:tcPr>
                <w:p>
                  <w:pPr>
                    <w:spacing w:line="24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Cs w:val="21"/>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7161" w:type="dxa"/>
                  <w:gridSpan w:val="6"/>
                  <w:vAlign w:val="center"/>
                </w:tcPr>
                <w:p>
                  <w:pPr>
                    <w:spacing w:line="24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合计</w:t>
                  </w:r>
                </w:p>
              </w:tc>
              <w:tc>
                <w:tcPr>
                  <w:tcW w:w="1115" w:type="dxa"/>
                  <w:vAlign w:val="center"/>
                </w:tcPr>
                <w:p>
                  <w:pPr>
                    <w:spacing w:line="240" w:lineRule="exact"/>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320.5</w:t>
                  </w:r>
                </w:p>
              </w:tc>
            </w:tr>
          </w:tbl>
          <w:p>
            <w:pPr>
              <w:pStyle w:val="17"/>
              <w:ind w:left="0" w:leftChars="0" w:firstLine="0" w:firstLineChars="0"/>
              <w:rPr>
                <w:rFonts w:hint="default" w:ascii="Times New Roman" w:hAnsi="Times New Roman" w:cs="Times New Roman"/>
                <w:bCs/>
                <w:color w:val="000000" w:themeColor="text1"/>
                <w:spacing w:val="10"/>
                <w:sz w:val="24"/>
                <w:szCs w:val="24"/>
                <w14:textFill>
                  <w14:solidFill>
                    <w14:schemeClr w14:val="tx1"/>
                  </w14:solidFill>
                </w14:textFill>
              </w:rPr>
            </w:pPr>
          </w:p>
        </w:tc>
      </w:tr>
    </w:tbl>
    <w:p>
      <w:pPr>
        <w:rPr>
          <w:color w:val="000000" w:themeColor="text1"/>
          <w14:textFill>
            <w14:solidFill>
              <w14:schemeClr w14:val="tx1"/>
            </w14:solidFill>
          </w14:textFill>
        </w:rPr>
        <w:sectPr>
          <w:pgSz w:w="11907" w:h="16840"/>
          <w:pgMar w:top="1440" w:right="1797" w:bottom="1440" w:left="1797" w:header="851" w:footer="1077" w:gutter="0"/>
          <w:pgBorders>
            <w:top w:val="none" w:sz="0" w:space="0"/>
            <w:left w:val="none" w:sz="0" w:space="0"/>
            <w:bottom w:val="none" w:sz="0" w:space="0"/>
            <w:right w:val="none" w:sz="0" w:space="0"/>
          </w:pgBorders>
          <w:cols w:space="425" w:num="1"/>
          <w:docGrid w:linePitch="312" w:charSpace="0"/>
        </w:sectPr>
      </w:pPr>
    </w:p>
    <w:p>
      <w:pPr>
        <w:pStyle w:val="15"/>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六、生态环境保护措施监督检查清单</w:t>
      </w:r>
    </w:p>
    <w:tbl>
      <w:tblPr>
        <w:tblStyle w:val="18"/>
        <w:tblW w:w="526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021"/>
        <w:gridCol w:w="1440"/>
        <w:gridCol w:w="1874"/>
        <w:gridCol w:w="17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58" w:type="pct"/>
            <w:vMerge w:val="restart"/>
            <w:tcBorders>
              <w:tl2br w:val="single" w:color="auto" w:sz="4" w:space="0"/>
            </w:tcBorders>
            <w:noWrap w:val="0"/>
            <w:vAlign w:val="top"/>
          </w:tcPr>
          <w:p>
            <w:pPr>
              <w:pStyle w:val="15"/>
              <w:adjustRightInd w:val="0"/>
              <w:snapToGrid w:val="0"/>
              <w:spacing w:before="72" w:beforeLines="30" w:beforeAutospacing="0" w:after="0" w:afterAutospacing="0"/>
              <w:jc w:val="center"/>
              <w:outlineLvl w:val="0"/>
              <w:rPr>
                <w:rFonts w:hint="default" w:ascii="Times New Roman" w:hAnsi="Times New Roman" w:eastAsia="黑体" w:cs="Times New Roman"/>
                <w:color w:val="000000" w:themeColor="text1"/>
                <w:kern w:val="2"/>
                <w:sz w:val="24"/>
                <w:szCs w:val="24"/>
                <w14:textFill>
                  <w14:solidFill>
                    <w14:schemeClr w14:val="tx1"/>
                  </w14:solidFill>
                </w14:textFill>
              </w:rPr>
            </w:pPr>
            <w:r>
              <w:rPr>
                <w:rFonts w:hint="default" w:ascii="Times New Roman" w:hAnsi="Times New Roman" w:eastAsia="黑体" w:cs="Times New Roman"/>
                <w:color w:val="000000" w:themeColor="text1"/>
                <w:kern w:val="2"/>
                <w:sz w:val="24"/>
                <w:szCs w:val="24"/>
                <w14:textFill>
                  <w14:solidFill>
                    <w14:schemeClr w14:val="tx1"/>
                  </w14:solidFill>
                </w14:textFill>
              </w:rPr>
              <w:t xml:space="preserve">        内容</w:t>
            </w:r>
          </w:p>
          <w:p>
            <w:pPr>
              <w:pStyle w:val="15"/>
              <w:adjustRightInd w:val="0"/>
              <w:snapToGrid w:val="0"/>
              <w:spacing w:before="0" w:beforeAutospacing="0" w:after="0" w:afterAutospacing="0" w:line="14" w:lineRule="auto"/>
              <w:outlineLvl w:val="0"/>
              <w:rPr>
                <w:rFonts w:hint="default" w:ascii="Times New Roman" w:hAnsi="Times New Roman" w:eastAsia="黑体" w:cs="Times New Roman"/>
                <w:color w:val="000000" w:themeColor="text1"/>
                <w:kern w:val="2"/>
                <w:sz w:val="24"/>
                <w:szCs w:val="24"/>
                <w14:textFill>
                  <w14:solidFill>
                    <w14:schemeClr w14:val="tx1"/>
                  </w14:solidFill>
                </w14:textFill>
              </w:rPr>
            </w:pPr>
            <w:r>
              <w:rPr>
                <w:rFonts w:hint="default" w:ascii="Times New Roman" w:hAnsi="Times New Roman" w:eastAsia="黑体" w:cs="Times New Roman"/>
                <w:color w:val="000000" w:themeColor="text1"/>
                <w:kern w:val="2"/>
                <w:sz w:val="24"/>
                <w:szCs w:val="24"/>
                <w14:textFill>
                  <w14:solidFill>
                    <w14:schemeClr w14:val="tx1"/>
                  </w14:solidFill>
                </w14:textFill>
              </w:rPr>
              <w:t xml:space="preserve">  </w:t>
            </w:r>
          </w:p>
          <w:p>
            <w:pPr>
              <w:pStyle w:val="15"/>
              <w:adjustRightInd w:val="0"/>
              <w:snapToGrid w:val="0"/>
              <w:spacing w:before="0" w:beforeAutospacing="0" w:after="0" w:afterAutospacing="0"/>
              <w:outlineLvl w:val="0"/>
              <w:rPr>
                <w:rFonts w:hint="default" w:ascii="Times New Roman" w:hAnsi="Times New Roman" w:eastAsia="黑体" w:cs="Times New Roman"/>
                <w:color w:val="000000" w:themeColor="text1"/>
                <w:kern w:val="2"/>
                <w:sz w:val="24"/>
                <w:szCs w:val="24"/>
                <w14:textFill>
                  <w14:solidFill>
                    <w14:schemeClr w14:val="tx1"/>
                  </w14:solidFill>
                </w14:textFill>
              </w:rPr>
            </w:pPr>
          </w:p>
          <w:p>
            <w:pPr>
              <w:pStyle w:val="15"/>
              <w:adjustRightInd w:val="0"/>
              <w:snapToGrid w:val="0"/>
              <w:spacing w:before="0" w:beforeAutospacing="0" w:after="0" w:afterAutospacing="0"/>
              <w:outlineLvl w:val="0"/>
              <w:rPr>
                <w:rFonts w:hint="default" w:ascii="Times New Roman" w:hAnsi="Times New Roman" w:eastAsia="黑体" w:cs="Times New Roman"/>
                <w:color w:val="000000" w:themeColor="text1"/>
                <w:kern w:val="2"/>
                <w:sz w:val="24"/>
                <w:szCs w:val="24"/>
                <w14:textFill>
                  <w14:solidFill>
                    <w14:schemeClr w14:val="tx1"/>
                  </w14:solidFill>
                </w14:textFill>
              </w:rPr>
            </w:pPr>
            <w:r>
              <w:rPr>
                <w:rFonts w:hint="default" w:ascii="Times New Roman" w:hAnsi="Times New Roman" w:eastAsia="黑体" w:cs="Times New Roman"/>
                <w:color w:val="000000" w:themeColor="text1"/>
                <w:kern w:val="2"/>
                <w:sz w:val="24"/>
                <w:szCs w:val="24"/>
                <w14:textFill>
                  <w14:solidFill>
                    <w14:schemeClr w14:val="tx1"/>
                  </w14:solidFill>
                </w14:textFill>
              </w:rPr>
              <w:t>要素</w:t>
            </w:r>
          </w:p>
        </w:tc>
        <w:tc>
          <w:tcPr>
            <w:tcW w:w="1927" w:type="pct"/>
            <w:gridSpan w:val="2"/>
            <w:noWrap w:val="0"/>
            <w:vAlign w:val="center"/>
          </w:tcPr>
          <w:p>
            <w:pPr>
              <w:pStyle w:val="15"/>
              <w:adjustRightInd w:val="0"/>
              <w:snapToGrid w:val="0"/>
              <w:spacing w:before="0" w:beforeAutospacing="0" w:after="0" w:afterAutospacing="0"/>
              <w:jc w:val="center"/>
              <w:outlineLvl w:val="0"/>
              <w:rPr>
                <w:rFonts w:hint="default" w:ascii="Times New Roman" w:hAnsi="Times New Roman" w:eastAsia="黑体" w:cs="Times New Roman"/>
                <w:color w:val="000000" w:themeColor="text1"/>
                <w:kern w:val="2"/>
                <w:sz w:val="24"/>
                <w:szCs w:val="24"/>
                <w14:textFill>
                  <w14:solidFill>
                    <w14:schemeClr w14:val="tx1"/>
                  </w14:solidFill>
                </w14:textFill>
              </w:rPr>
            </w:pPr>
            <w:r>
              <w:rPr>
                <w:rFonts w:hint="default" w:ascii="Times New Roman" w:hAnsi="Times New Roman" w:eastAsia="黑体" w:cs="Times New Roman"/>
                <w:color w:val="000000" w:themeColor="text1"/>
                <w:kern w:val="2"/>
                <w:sz w:val="24"/>
                <w:szCs w:val="24"/>
                <w14:textFill>
                  <w14:solidFill>
                    <w14:schemeClr w14:val="tx1"/>
                  </w14:solidFill>
                </w14:textFill>
              </w:rPr>
              <w:t>施工期</w:t>
            </w:r>
          </w:p>
        </w:tc>
        <w:tc>
          <w:tcPr>
            <w:tcW w:w="2014" w:type="pct"/>
            <w:gridSpan w:val="2"/>
            <w:noWrap w:val="0"/>
            <w:vAlign w:val="center"/>
          </w:tcPr>
          <w:p>
            <w:pPr>
              <w:pStyle w:val="15"/>
              <w:adjustRightInd w:val="0"/>
              <w:snapToGrid w:val="0"/>
              <w:spacing w:before="0" w:beforeAutospacing="0" w:after="0" w:afterAutospacing="0"/>
              <w:jc w:val="center"/>
              <w:outlineLvl w:val="0"/>
              <w:rPr>
                <w:rFonts w:hint="default" w:ascii="Times New Roman" w:hAnsi="Times New Roman" w:eastAsia="黑体" w:cs="Times New Roman"/>
                <w:color w:val="000000" w:themeColor="text1"/>
                <w:kern w:val="2"/>
                <w:sz w:val="24"/>
                <w:szCs w:val="24"/>
                <w14:textFill>
                  <w14:solidFill>
                    <w14:schemeClr w14:val="tx1"/>
                  </w14:solidFill>
                </w14:textFill>
              </w:rPr>
            </w:pPr>
            <w:r>
              <w:rPr>
                <w:rFonts w:hint="default" w:ascii="Times New Roman" w:hAnsi="Times New Roman" w:eastAsia="黑体" w:cs="Times New Roman"/>
                <w:color w:val="000000" w:themeColor="text1"/>
                <w:kern w:val="2"/>
                <w:sz w:val="24"/>
                <w:szCs w:val="24"/>
                <w14:textFill>
                  <w14:solidFill>
                    <w14:schemeClr w14:val="tx1"/>
                  </w14:solidFill>
                </w14:textFill>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58" w:type="pct"/>
            <w:vMerge w:val="continue"/>
            <w:noWrap w:val="0"/>
            <w:vAlign w:val="top"/>
          </w:tcPr>
          <w:p>
            <w:pPr>
              <w:pStyle w:val="15"/>
              <w:adjustRightInd w:val="0"/>
              <w:snapToGrid w:val="0"/>
              <w:spacing w:before="0" w:beforeAutospacing="0" w:after="0" w:afterAutospacing="0"/>
              <w:ind w:firstLine="840"/>
              <w:jc w:val="center"/>
              <w:outlineLvl w:val="0"/>
              <w:rPr>
                <w:rFonts w:hint="default" w:ascii="Times New Roman" w:hAnsi="Times New Roman" w:eastAsia="黑体" w:cs="Times New Roman"/>
                <w:color w:val="000000" w:themeColor="text1"/>
                <w:kern w:val="2"/>
                <w:sz w:val="24"/>
                <w:szCs w:val="24"/>
                <w14:textFill>
                  <w14:solidFill>
                    <w14:schemeClr w14:val="tx1"/>
                  </w14:solidFill>
                </w14:textFill>
              </w:rPr>
            </w:pPr>
          </w:p>
        </w:tc>
        <w:tc>
          <w:tcPr>
            <w:tcW w:w="1125" w:type="pct"/>
            <w:noWrap w:val="0"/>
            <w:vAlign w:val="center"/>
          </w:tcPr>
          <w:p>
            <w:pPr>
              <w:pStyle w:val="15"/>
              <w:adjustRightInd w:val="0"/>
              <w:snapToGrid w:val="0"/>
              <w:spacing w:before="0" w:beforeAutospacing="0" w:after="0" w:afterAutospacing="0"/>
              <w:jc w:val="center"/>
              <w:outlineLvl w:val="0"/>
              <w:rPr>
                <w:rFonts w:hint="default" w:ascii="Times New Roman" w:hAnsi="Times New Roman" w:eastAsia="黑体" w:cs="Times New Roman"/>
                <w:color w:val="000000" w:themeColor="text1"/>
                <w:kern w:val="2"/>
                <w:sz w:val="24"/>
                <w:szCs w:val="24"/>
                <w14:textFill>
                  <w14:solidFill>
                    <w14:schemeClr w14:val="tx1"/>
                  </w14:solidFill>
                </w14:textFill>
              </w:rPr>
            </w:pPr>
            <w:r>
              <w:rPr>
                <w:rFonts w:hint="default" w:ascii="Times New Roman" w:hAnsi="Times New Roman" w:eastAsia="黑体" w:cs="Times New Roman"/>
                <w:color w:val="000000" w:themeColor="text1"/>
                <w:kern w:val="2"/>
                <w:sz w:val="24"/>
                <w:szCs w:val="24"/>
                <w14:textFill>
                  <w14:solidFill>
                    <w14:schemeClr w14:val="tx1"/>
                  </w14:solidFill>
                </w14:textFill>
              </w:rPr>
              <w:t>环境保护措施</w:t>
            </w:r>
          </w:p>
        </w:tc>
        <w:tc>
          <w:tcPr>
            <w:tcW w:w="802" w:type="pct"/>
            <w:noWrap w:val="0"/>
            <w:vAlign w:val="center"/>
          </w:tcPr>
          <w:p>
            <w:pPr>
              <w:pStyle w:val="15"/>
              <w:adjustRightInd w:val="0"/>
              <w:snapToGrid w:val="0"/>
              <w:spacing w:before="0" w:beforeAutospacing="0" w:after="0" w:afterAutospacing="0"/>
              <w:jc w:val="center"/>
              <w:outlineLvl w:val="0"/>
              <w:rPr>
                <w:rFonts w:hint="default" w:ascii="Times New Roman" w:hAnsi="Times New Roman" w:eastAsia="黑体" w:cs="Times New Roman"/>
                <w:color w:val="000000" w:themeColor="text1"/>
                <w:kern w:val="2"/>
                <w:sz w:val="24"/>
                <w:szCs w:val="24"/>
                <w14:textFill>
                  <w14:solidFill>
                    <w14:schemeClr w14:val="tx1"/>
                  </w14:solidFill>
                </w14:textFill>
              </w:rPr>
            </w:pPr>
            <w:r>
              <w:rPr>
                <w:rFonts w:hint="default" w:ascii="Times New Roman" w:hAnsi="Times New Roman" w:eastAsia="黑体" w:cs="Times New Roman"/>
                <w:color w:val="000000" w:themeColor="text1"/>
                <w:kern w:val="2"/>
                <w:sz w:val="24"/>
                <w:szCs w:val="24"/>
                <w14:textFill>
                  <w14:solidFill>
                    <w14:schemeClr w14:val="tx1"/>
                  </w14:solidFill>
                </w14:textFill>
              </w:rPr>
              <w:t>验收要求</w:t>
            </w:r>
          </w:p>
        </w:tc>
        <w:tc>
          <w:tcPr>
            <w:tcW w:w="1043" w:type="pct"/>
            <w:noWrap w:val="0"/>
            <w:vAlign w:val="center"/>
          </w:tcPr>
          <w:p>
            <w:pPr>
              <w:pStyle w:val="15"/>
              <w:adjustRightInd w:val="0"/>
              <w:snapToGrid w:val="0"/>
              <w:spacing w:before="0" w:beforeAutospacing="0" w:after="0" w:afterAutospacing="0"/>
              <w:jc w:val="center"/>
              <w:outlineLvl w:val="0"/>
              <w:rPr>
                <w:rFonts w:hint="default" w:ascii="Times New Roman" w:hAnsi="Times New Roman" w:eastAsia="黑体" w:cs="Times New Roman"/>
                <w:color w:val="000000" w:themeColor="text1"/>
                <w:kern w:val="2"/>
                <w:sz w:val="24"/>
                <w:szCs w:val="24"/>
                <w14:textFill>
                  <w14:solidFill>
                    <w14:schemeClr w14:val="tx1"/>
                  </w14:solidFill>
                </w14:textFill>
              </w:rPr>
            </w:pPr>
            <w:r>
              <w:rPr>
                <w:rFonts w:hint="default" w:ascii="Times New Roman" w:hAnsi="Times New Roman" w:eastAsia="黑体" w:cs="Times New Roman"/>
                <w:color w:val="000000" w:themeColor="text1"/>
                <w:kern w:val="2"/>
                <w:sz w:val="24"/>
                <w:szCs w:val="24"/>
                <w14:textFill>
                  <w14:solidFill>
                    <w14:schemeClr w14:val="tx1"/>
                  </w14:solidFill>
                </w14:textFill>
              </w:rPr>
              <w:t>环境保护措施</w:t>
            </w:r>
          </w:p>
        </w:tc>
        <w:tc>
          <w:tcPr>
            <w:tcW w:w="970" w:type="pct"/>
            <w:noWrap w:val="0"/>
            <w:vAlign w:val="center"/>
          </w:tcPr>
          <w:p>
            <w:pPr>
              <w:pStyle w:val="15"/>
              <w:adjustRightInd w:val="0"/>
              <w:snapToGrid w:val="0"/>
              <w:spacing w:before="0" w:beforeAutospacing="0" w:after="0" w:afterAutospacing="0"/>
              <w:jc w:val="center"/>
              <w:outlineLvl w:val="0"/>
              <w:rPr>
                <w:rFonts w:hint="default" w:ascii="Times New Roman" w:hAnsi="Times New Roman" w:eastAsia="黑体" w:cs="Times New Roman"/>
                <w:color w:val="000000" w:themeColor="text1"/>
                <w:kern w:val="2"/>
                <w:sz w:val="24"/>
                <w:szCs w:val="24"/>
                <w14:textFill>
                  <w14:solidFill>
                    <w14:schemeClr w14:val="tx1"/>
                  </w14:solidFill>
                </w14:textFill>
              </w:rPr>
            </w:pPr>
            <w:r>
              <w:rPr>
                <w:rFonts w:hint="default" w:ascii="Times New Roman" w:hAnsi="Times New Roman" w:eastAsia="黑体" w:cs="Times New Roman"/>
                <w:color w:val="000000" w:themeColor="text1"/>
                <w:kern w:val="2"/>
                <w:sz w:val="24"/>
                <w:szCs w:val="24"/>
                <w14:textFill>
                  <w14:solidFill>
                    <w14:schemeClr w14:val="tx1"/>
                  </w14:solidFill>
                </w14:textFill>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8" w:type="pct"/>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陆生生态</w:t>
            </w:r>
          </w:p>
        </w:tc>
        <w:tc>
          <w:tcPr>
            <w:tcW w:w="1125" w:type="pct"/>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限定施工期作业带范围，减少施工临时占地，施工结束后对临时占地及时进行土地复垦，恢复原耕种条件，及时进行复垦验收和耕种</w:t>
            </w:r>
          </w:p>
        </w:tc>
        <w:tc>
          <w:tcPr>
            <w:tcW w:w="802"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临时占地均进行了恢复</w:t>
            </w:r>
          </w:p>
        </w:tc>
        <w:tc>
          <w:tcPr>
            <w:tcW w:w="1043"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未进行生态恢复的临时占地进一步恢复，恢复影响的植被</w:t>
            </w:r>
            <w:r>
              <w:rPr>
                <w:rFonts w:hint="eastAsia" w:cs="Times New Roman"/>
                <w:color w:val="000000" w:themeColor="text1"/>
                <w:sz w:val="24"/>
                <w:szCs w:val="24"/>
                <w:lang w:val="en-US" w:eastAsia="zh-CN"/>
                <w14:textFill>
                  <w14:solidFill>
                    <w14:schemeClr w14:val="tx1"/>
                  </w14:solidFill>
                </w14:textFill>
              </w:rPr>
              <w:t>；风机上图上亚光涂料，以利于鸟类辨识；</w:t>
            </w:r>
          </w:p>
        </w:tc>
        <w:tc>
          <w:tcPr>
            <w:tcW w:w="970" w:type="pct"/>
            <w:noWrap w:val="0"/>
            <w:vAlign w:val="center"/>
          </w:tcPr>
          <w:p>
            <w:pPr>
              <w:adjustRightInd w:val="0"/>
              <w:snapToGrid w:val="0"/>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植被恢复效果达到要求，临时占地恢复原使用功能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8" w:type="pct"/>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水生生态</w:t>
            </w:r>
          </w:p>
        </w:tc>
        <w:tc>
          <w:tcPr>
            <w:tcW w:w="1125"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802"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1043"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970"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8" w:type="pct"/>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地表水环境</w:t>
            </w:r>
          </w:p>
        </w:tc>
        <w:tc>
          <w:tcPr>
            <w:tcW w:w="1125"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临时沉淀池，收集后洒水抑尘，冲洗车辆</w:t>
            </w:r>
          </w:p>
        </w:tc>
        <w:tc>
          <w:tcPr>
            <w:tcW w:w="802"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废水不外排</w:t>
            </w:r>
          </w:p>
        </w:tc>
        <w:tc>
          <w:tcPr>
            <w:tcW w:w="1043"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w:t>
            </w:r>
          </w:p>
        </w:tc>
        <w:tc>
          <w:tcPr>
            <w:tcW w:w="970"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8" w:type="pct"/>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地下水及土壤环境</w:t>
            </w:r>
          </w:p>
        </w:tc>
        <w:tc>
          <w:tcPr>
            <w:tcW w:w="1125"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802"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1043" w:type="pct"/>
            <w:noWrap w:val="0"/>
            <w:vAlign w:val="center"/>
          </w:tcPr>
          <w:p>
            <w:pPr>
              <w:adjustRightInd w:val="0"/>
              <w:snapToGrid w:val="0"/>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pacing w:val="4"/>
                <w:sz w:val="24"/>
                <w:szCs w:val="20"/>
                <w:lang w:val="en-US" w:eastAsia="zh-CN"/>
                <w14:textFill>
                  <w14:solidFill>
                    <w14:schemeClr w14:val="tx1"/>
                  </w14:solidFill>
                </w14:textFill>
              </w:rPr>
              <w:t>35</w:t>
            </w:r>
            <w:r>
              <w:rPr>
                <w:rFonts w:hint="default" w:ascii="Times New Roman" w:hAnsi="Times New Roman" w:cs="Times New Roman"/>
                <w:color w:val="000000" w:themeColor="text1"/>
                <w:spacing w:val="4"/>
                <w:sz w:val="24"/>
                <w:szCs w:val="20"/>
                <w14:textFill>
                  <w14:solidFill>
                    <w14:schemeClr w14:val="tx1"/>
                  </w14:solidFill>
                </w14:textFill>
              </w:rPr>
              <w:t>kV箱式变压器下事故油池</w:t>
            </w:r>
            <w:r>
              <w:rPr>
                <w:rFonts w:hint="eastAsia" w:cs="Times New Roman"/>
                <w:color w:val="000000" w:themeColor="text1"/>
                <w:spacing w:val="4"/>
                <w:sz w:val="24"/>
                <w:szCs w:val="20"/>
                <w:lang w:val="en-US" w:eastAsia="zh-CN"/>
                <w14:textFill>
                  <w14:solidFill>
                    <w14:schemeClr w14:val="tx1"/>
                  </w14:solidFill>
                </w14:textFill>
              </w:rPr>
              <w:t>和</w:t>
            </w:r>
            <w:r>
              <w:rPr>
                <w:rFonts w:hint="default" w:ascii="Times New Roman" w:hAnsi="Times New Roman" w:cs="Times New Roman"/>
                <w:color w:val="000000" w:themeColor="text1"/>
                <w:spacing w:val="4"/>
                <w:sz w:val="24"/>
                <w:szCs w:val="20"/>
                <w:lang w:val="en-US" w:eastAsia="zh-CN"/>
                <w14:textFill>
                  <w14:solidFill>
                    <w14:schemeClr w14:val="tx1"/>
                  </w14:solidFill>
                </w14:textFill>
              </w:rPr>
              <w:t>危险废物暂存间进行重点防渗</w:t>
            </w:r>
          </w:p>
        </w:tc>
        <w:tc>
          <w:tcPr>
            <w:tcW w:w="970"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满足</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《危险废物贮存污染控制标准》及其2013修改单</w:t>
            </w:r>
            <w:r>
              <w:rPr>
                <w:rFonts w:hint="default" w:ascii="Times New Roman" w:hAnsi="Times New Roman" w:cs="Times New Roman"/>
                <w:color w:val="000000" w:themeColor="text1"/>
                <w:sz w:val="24"/>
                <w:szCs w:val="24"/>
                <w:lang w:val="en-US" w:eastAsia="zh-CN"/>
                <w14:textFill>
                  <w14:solidFill>
                    <w14:schemeClr w14:val="tx1"/>
                  </w14:solidFill>
                </w14:textFill>
              </w:rPr>
              <w:t>的防渗要求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8" w:type="pct"/>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声环境</w:t>
            </w:r>
          </w:p>
        </w:tc>
        <w:tc>
          <w:tcPr>
            <w:tcW w:w="1125" w:type="pct"/>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4"/>
                <w:sz w:val="24"/>
                <w:szCs w:val="20"/>
                <w:lang w:val="en-US" w:eastAsia="zh-CN"/>
                <w14:textFill>
                  <w14:solidFill>
                    <w14:schemeClr w14:val="tx1"/>
                  </w14:solidFill>
                </w14:textFill>
              </w:rPr>
              <w:t>针对机械设备噪声和交通噪声，要求合理布置场地、安排施工工序，在经过居民区时限速行驶、禁止鸣笛；</w:t>
            </w:r>
          </w:p>
        </w:tc>
        <w:tc>
          <w:tcPr>
            <w:tcW w:w="802"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满足</w:t>
            </w:r>
            <w:r>
              <w:rPr>
                <w:rFonts w:hint="default" w:ascii="Times New Roman" w:hAnsi="Times New Roman" w:eastAsia="宋体" w:cs="Times New Roman"/>
                <w:color w:val="000000" w:themeColor="text1"/>
                <w:sz w:val="24"/>
                <w:szCs w:val="24"/>
                <w14:textFill>
                  <w14:solidFill>
                    <w14:schemeClr w14:val="tx1"/>
                  </w14:solidFill>
                </w14:textFill>
              </w:rPr>
              <w:t>《建筑施工场界噪声排放标准》</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GB12523-2011</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中表1标准限值</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要求</w:t>
            </w:r>
          </w:p>
        </w:tc>
        <w:tc>
          <w:tcPr>
            <w:tcW w:w="1043" w:type="pct"/>
            <w:noWrap w:val="0"/>
            <w:vAlign w:val="center"/>
          </w:tcPr>
          <w:p>
            <w:pPr>
              <w:adjustRightInd w:val="0"/>
              <w:snapToGrid w:val="0"/>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①风电机选用隔音防震型、变速齿轮箱选用减噪型装置，叶片采用减速叶片等；</w:t>
            </w:r>
          </w:p>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②</w:t>
            </w:r>
            <w:r>
              <w:rPr>
                <w:rFonts w:hint="eastAsia" w:cs="Times New Roman"/>
                <w:color w:val="000000" w:themeColor="text1"/>
                <w:sz w:val="24"/>
                <w:szCs w:val="24"/>
                <w:lang w:val="en-US" w:eastAsia="zh-CN"/>
                <w14:textFill>
                  <w14:solidFill>
                    <w14:schemeClr w14:val="tx1"/>
                  </w14:solidFill>
                </w14:textFill>
              </w:rPr>
              <w:t>开关站</w:t>
            </w:r>
            <w:r>
              <w:rPr>
                <w:rFonts w:hint="default" w:ascii="Times New Roman" w:hAnsi="Times New Roman" w:cs="Times New Roman"/>
                <w:color w:val="000000" w:themeColor="text1"/>
                <w:sz w:val="24"/>
                <w:szCs w:val="24"/>
                <w:lang w:val="en-US" w:eastAsia="zh-CN"/>
                <w14:textFill>
                  <w14:solidFill>
                    <w14:schemeClr w14:val="tx1"/>
                  </w14:solidFill>
                </w14:textFill>
              </w:rPr>
              <w:t>进行隔声、减震</w:t>
            </w:r>
            <w:r>
              <w:rPr>
                <w:rFonts w:hint="eastAsia" w:cs="Times New Roman"/>
                <w:color w:val="000000" w:themeColor="text1"/>
                <w:sz w:val="24"/>
                <w:szCs w:val="24"/>
                <w:lang w:val="en-US" w:eastAsia="zh-CN"/>
                <w14:textFill>
                  <w14:solidFill>
                    <w14:schemeClr w14:val="tx1"/>
                  </w14:solidFill>
                </w14:textFill>
              </w:rPr>
              <w:t>措施</w:t>
            </w:r>
            <w:r>
              <w:rPr>
                <w:rFonts w:hint="default" w:ascii="Times New Roman" w:hAnsi="Times New Roman" w:cs="Times New Roman"/>
                <w:color w:val="000000" w:themeColor="text1"/>
                <w:sz w:val="24"/>
                <w:szCs w:val="24"/>
                <w:lang w:val="en-US" w:eastAsia="zh-CN"/>
                <w14:textFill>
                  <w14:solidFill>
                    <w14:schemeClr w14:val="tx1"/>
                  </w14:solidFill>
                </w14:textFill>
              </w:rPr>
              <w:t>，加强设备管理和维护</w:t>
            </w:r>
          </w:p>
        </w:tc>
        <w:tc>
          <w:tcPr>
            <w:tcW w:w="970"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满足</w:t>
            </w:r>
            <w:r>
              <w:rPr>
                <w:rFonts w:hint="default" w:ascii="Times New Roman" w:hAnsi="Times New Roman" w:cs="Times New Roman"/>
                <w:color w:val="000000" w:themeColor="text1"/>
                <w:sz w:val="24"/>
                <w14:textFill>
                  <w14:solidFill>
                    <w14:schemeClr w14:val="tx1"/>
                  </w14:solidFill>
                </w14:textFill>
              </w:rPr>
              <w:t>《工业企业厂界环境噪声排放标准》（GB12348-2008）中2类</w:t>
            </w:r>
            <w:r>
              <w:rPr>
                <w:rFonts w:hint="default" w:ascii="Times New Roman" w:hAnsi="Times New Roman" w:cs="Times New Roman"/>
                <w:color w:val="000000" w:themeColor="text1"/>
                <w:sz w:val="24"/>
                <w:lang w:val="en-US" w:eastAsia="zh-CN"/>
                <w14:textFill>
                  <w14:solidFill>
                    <w14:schemeClr w14:val="tx1"/>
                  </w14:solidFill>
                </w14:textFill>
              </w:rPr>
              <w:t>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8" w:type="pct"/>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振动</w:t>
            </w:r>
          </w:p>
        </w:tc>
        <w:tc>
          <w:tcPr>
            <w:tcW w:w="1125"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802"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1043"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970"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8" w:type="pct"/>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大气环境</w:t>
            </w:r>
          </w:p>
        </w:tc>
        <w:tc>
          <w:tcPr>
            <w:tcW w:w="1125" w:type="pct"/>
            <w:noWrap w:val="0"/>
            <w:vAlign w:val="center"/>
          </w:tcPr>
          <w:p>
            <w:pPr>
              <w:keepNext w:val="0"/>
              <w:keepLines w:val="0"/>
              <w:widowControl/>
              <w:suppressLineNumbers w:val="0"/>
              <w:jc w:val="left"/>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①设置施工围挡，</w:t>
            </w:r>
            <w:r>
              <w:rPr>
                <w:rFonts w:hint="default" w:ascii="Times New Roman" w:hAnsi="Times New Roman" w:cs="Times New Roman"/>
                <w:color w:val="000000" w:themeColor="text1"/>
                <w:sz w:val="24"/>
                <w14:textFill>
                  <w14:solidFill>
                    <w14:schemeClr w14:val="tx1"/>
                  </w14:solidFill>
                </w14:textFill>
              </w:rPr>
              <w:t>分段施工</w:t>
            </w:r>
            <w:r>
              <w:rPr>
                <w:rFonts w:hint="default" w:ascii="Times New Roman" w:hAnsi="Times New Roman" w:cs="Times New Roman"/>
                <w:color w:val="000000" w:themeColor="text1"/>
                <w:sz w:val="24"/>
                <w:szCs w:val="24"/>
                <w:lang w:val="en-US" w:eastAsia="zh-CN"/>
                <w14:textFill>
                  <w14:solidFill>
                    <w14:schemeClr w14:val="tx1"/>
                  </w14:solidFill>
                </w14:textFill>
              </w:rPr>
              <w:t>；②</w:t>
            </w:r>
            <w:r>
              <w:rPr>
                <w:rFonts w:hint="default" w:ascii="Times New Roman" w:hAnsi="Times New Roman" w:cs="Times New Roman"/>
                <w:color w:val="000000" w:themeColor="text1"/>
                <w:sz w:val="24"/>
                <w:szCs w:val="24"/>
                <w14:textFill>
                  <w14:solidFill>
                    <w14:schemeClr w14:val="tx1"/>
                  </w14:solidFill>
                </w14:textFill>
              </w:rPr>
              <w:t>建筑材料堆场设置挡风墙</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苫盖遮盖；③</w:t>
            </w:r>
            <w:r>
              <w:rPr>
                <w:rFonts w:hint="default" w:ascii="Times New Roman" w:hAnsi="Times New Roman" w:cs="Times New Roman"/>
                <w:color w:val="000000" w:themeColor="text1"/>
                <w:sz w:val="24"/>
                <w14:textFill>
                  <w14:solidFill>
                    <w14:schemeClr w14:val="tx1"/>
                  </w14:solidFill>
                </w14:textFill>
              </w:rPr>
              <w:t>土石方挖掘完后，要及时回填</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④加强施工管理，限制车速，洒水抑尘；</w:t>
            </w:r>
          </w:p>
        </w:tc>
        <w:tc>
          <w:tcPr>
            <w:tcW w:w="802"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符合</w:t>
            </w:r>
            <w:r>
              <w:rPr>
                <w:rFonts w:hint="default" w:ascii="Times New Roman" w:hAnsi="Times New Roman" w:cs="Times New Roman"/>
                <w:color w:val="000000" w:themeColor="text1"/>
                <w:sz w:val="24"/>
                <w:szCs w:val="24"/>
                <w14:textFill>
                  <w14:solidFill>
                    <w14:schemeClr w14:val="tx1"/>
                  </w14:solidFill>
                </w14:textFill>
              </w:rPr>
              <w:t>《陕西省建筑施工扬尘治理措施16条》</w:t>
            </w:r>
            <w:r>
              <w:rPr>
                <w:rFonts w:hint="default" w:ascii="Times New Roman" w:hAnsi="Times New Roman" w:cs="Times New Roman"/>
                <w:color w:val="000000" w:themeColor="text1"/>
                <w:sz w:val="24"/>
                <w:szCs w:val="24"/>
                <w:lang w:val="en-US" w:eastAsia="zh-CN"/>
                <w14:textFill>
                  <w14:solidFill>
                    <w14:schemeClr w14:val="tx1"/>
                  </w14:solidFill>
                </w14:textFill>
              </w:rPr>
              <w:t>要求以及《施工场界扬尘排放限值》（DB61/1078-2017）要求</w:t>
            </w:r>
          </w:p>
        </w:tc>
        <w:tc>
          <w:tcPr>
            <w:tcW w:w="1043"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970"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8" w:type="pct"/>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固体废物</w:t>
            </w:r>
          </w:p>
        </w:tc>
        <w:tc>
          <w:tcPr>
            <w:tcW w:w="1125" w:type="pct"/>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生活垃圾、建筑垃圾集中收集，按当地建设或环卫部门规定外运处理，运输需加盖篷布</w:t>
            </w:r>
          </w:p>
        </w:tc>
        <w:tc>
          <w:tcPr>
            <w:tcW w:w="802"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妥善处置</w:t>
            </w:r>
          </w:p>
        </w:tc>
        <w:tc>
          <w:tcPr>
            <w:tcW w:w="1043" w:type="pct"/>
            <w:noWrap w:val="0"/>
            <w:vAlign w:val="center"/>
          </w:tcPr>
          <w:p>
            <w:pPr>
              <w:adjustRightInd w:val="0"/>
              <w:snapToGrid w:val="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①每个风机的箱式变压器处各设置3m</w:t>
            </w:r>
            <w:r>
              <w:rPr>
                <w:rFonts w:hint="default" w:ascii="Times New Roman" w:hAnsi="Times New Roman"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szCs w:val="24"/>
                <w:lang w:val="en-US" w:eastAsia="zh-CN"/>
                <w14:textFill>
                  <w14:solidFill>
                    <w14:schemeClr w14:val="tx1"/>
                  </w14:solidFill>
                </w14:textFill>
              </w:rPr>
              <w:t>的防渗事故油池；②设置危险废物暂存间，设备检修固废、废变压器油、废箱式变压器、废润滑油等在危废间暂存，交由有资质单位处置</w:t>
            </w:r>
          </w:p>
        </w:tc>
        <w:tc>
          <w:tcPr>
            <w:tcW w:w="970" w:type="pct"/>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危废储存场满足《危险废物贮存污染控制标准》（GB18597-2001）及</w:t>
            </w:r>
          </w:p>
          <w:p>
            <w:pPr>
              <w:adjustRightInd w:val="0"/>
              <w:snapToGrid w:val="0"/>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2013修改单中的有关规定；一般固废妥善处置</w:t>
            </w:r>
          </w:p>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8" w:type="pct"/>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电磁环境</w:t>
            </w:r>
          </w:p>
        </w:tc>
        <w:tc>
          <w:tcPr>
            <w:tcW w:w="1125"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802"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1043"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970"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8" w:type="pct"/>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环境风险</w:t>
            </w:r>
          </w:p>
        </w:tc>
        <w:tc>
          <w:tcPr>
            <w:tcW w:w="1125"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802"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1043"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①设置消防工具和消防通道；②变压器设置事故池，并进行防渗处理；③设置日常维护管理人员，并进行应急培训</w:t>
            </w:r>
          </w:p>
        </w:tc>
        <w:tc>
          <w:tcPr>
            <w:tcW w:w="970"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8" w:type="pct"/>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环境监测</w:t>
            </w:r>
          </w:p>
        </w:tc>
        <w:tc>
          <w:tcPr>
            <w:tcW w:w="1125"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802"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1043"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35</w:t>
            </w:r>
            <w:r>
              <w:rPr>
                <w:rFonts w:hint="default" w:ascii="Times New Roman" w:hAnsi="Times New Roman" w:cs="Times New Roman"/>
                <w:color w:val="000000" w:themeColor="text1"/>
                <w:sz w:val="24"/>
                <w:szCs w:val="24"/>
                <w:lang w:val="en-US" w:eastAsia="zh-CN"/>
                <w14:textFill>
                  <w14:solidFill>
                    <w14:schemeClr w14:val="tx1"/>
                  </w14:solidFill>
                </w14:textFill>
              </w:rPr>
              <w:t>kV</w:t>
            </w:r>
            <w:r>
              <w:rPr>
                <w:rFonts w:hint="eastAsia" w:cs="Times New Roman"/>
                <w:color w:val="000000" w:themeColor="text1"/>
                <w:sz w:val="24"/>
                <w:szCs w:val="24"/>
                <w:lang w:val="en-US" w:eastAsia="zh-CN"/>
                <w14:textFill>
                  <w14:solidFill>
                    <w14:schemeClr w14:val="tx1"/>
                  </w14:solidFill>
                </w14:textFill>
              </w:rPr>
              <w:t>开关站</w:t>
            </w:r>
            <w:r>
              <w:rPr>
                <w:rFonts w:hint="default" w:ascii="Times New Roman" w:hAnsi="Times New Roman" w:cs="Times New Roman"/>
                <w:color w:val="000000" w:themeColor="text1"/>
                <w:sz w:val="24"/>
                <w:szCs w:val="24"/>
                <w:lang w:val="en-US" w:eastAsia="zh-CN"/>
                <w14:textFill>
                  <w14:solidFill>
                    <w14:schemeClr w14:val="tx1"/>
                  </w14:solidFill>
                </w14:textFill>
              </w:rPr>
              <w:t>厂界噪声</w:t>
            </w:r>
          </w:p>
        </w:tc>
        <w:tc>
          <w:tcPr>
            <w:tcW w:w="970" w:type="pct"/>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满足</w:t>
            </w:r>
            <w:r>
              <w:rPr>
                <w:rFonts w:hint="default" w:ascii="Times New Roman" w:hAnsi="Times New Roman" w:cs="Times New Roman"/>
                <w:color w:val="000000" w:themeColor="text1"/>
                <w:sz w:val="24"/>
                <w:szCs w:val="24"/>
                <w14:textFill>
                  <w14:solidFill>
                    <w14:schemeClr w14:val="tx1"/>
                  </w14:solidFill>
                </w14:textFill>
              </w:rPr>
              <w:t>《工业企业厂界环境噪声排放标准》（GB12348-2008）中2类</w:t>
            </w:r>
            <w:r>
              <w:rPr>
                <w:rFonts w:hint="default" w:ascii="Times New Roman" w:hAnsi="Times New Roman" w:cs="Times New Roman"/>
                <w:color w:val="000000" w:themeColor="text1"/>
                <w:sz w:val="24"/>
                <w:szCs w:val="24"/>
                <w:lang w:val="en-US" w:eastAsia="zh-CN"/>
                <w14:textFill>
                  <w14:solidFill>
                    <w14:schemeClr w14:val="tx1"/>
                  </w14:solidFill>
                </w14:textFill>
              </w:rPr>
              <w:t>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58" w:type="pct"/>
            <w:noWrap w:val="0"/>
            <w:vAlign w:val="center"/>
          </w:tcPr>
          <w:p>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其他</w:t>
            </w:r>
          </w:p>
        </w:tc>
        <w:tc>
          <w:tcPr>
            <w:tcW w:w="1125"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802"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c>
          <w:tcPr>
            <w:tcW w:w="1043" w:type="pct"/>
            <w:noWrap w:val="0"/>
            <w:vAlign w:val="center"/>
          </w:tcPr>
          <w:p>
            <w:pPr>
              <w:adjustRightInd w:val="0"/>
              <w:snapToGrid w:val="0"/>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要求在风机光影影响范围内不在新进学校、村庄以及民宅等敏感目标</w:t>
            </w:r>
          </w:p>
        </w:tc>
        <w:tc>
          <w:tcPr>
            <w:tcW w:w="970" w:type="pct"/>
            <w:noWrap w:val="0"/>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r>
    </w:tbl>
    <w:p>
      <w:pPr>
        <w:pStyle w:val="15"/>
        <w:jc w:val="center"/>
        <w:outlineLvl w:val="0"/>
        <w:rPr>
          <w:rFonts w:ascii="黑体" w:hAnsi="黑体" w:eastAsia="黑体"/>
          <w:snapToGrid w:val="0"/>
          <w:color w:val="000000" w:themeColor="text1"/>
          <w:sz w:val="30"/>
          <w:szCs w:val="30"/>
          <w14:textFill>
            <w14:solidFill>
              <w14:schemeClr w14:val="tx1"/>
            </w14:solidFill>
          </w14:textFill>
        </w:rPr>
      </w:pPr>
    </w:p>
    <w:p>
      <w:pPr>
        <w:pStyle w:val="15"/>
        <w:spacing w:before="0" w:beforeAutospacing="0" w:line="14" w:lineRule="auto"/>
        <w:jc w:val="center"/>
        <w:outlineLvl w:val="0"/>
        <w:rPr>
          <w:rFonts w:hint="eastAsia" w:ascii="黑体" w:hAnsi="黑体" w:eastAsia="黑体"/>
          <w:snapToGrid w:val="0"/>
          <w:color w:val="000000" w:themeColor="text1"/>
          <w:sz w:val="30"/>
          <w:szCs w:val="30"/>
          <w14:textFill>
            <w14:solidFill>
              <w14:schemeClr w14:val="tx1"/>
            </w14:solidFill>
          </w14:textFill>
        </w:rPr>
      </w:pPr>
      <w:r>
        <w:rPr>
          <w:rFonts w:ascii="黑体" w:hAnsi="黑体" w:eastAsia="黑体"/>
          <w:snapToGrid w:val="0"/>
          <w:color w:val="000000" w:themeColor="text1"/>
          <w:sz w:val="30"/>
          <w:szCs w:val="30"/>
          <w14:textFill>
            <w14:solidFill>
              <w14:schemeClr w14:val="tx1"/>
            </w14:solidFill>
          </w14:textFill>
        </w:rPr>
        <w:br w:type="page"/>
      </w:r>
    </w:p>
    <w:p>
      <w:pPr>
        <w:pStyle w:val="15"/>
        <w:spacing w:before="192" w:beforeLines="80" w:beforeAutospacing="0"/>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七、结论</w:t>
      </w:r>
    </w:p>
    <w:tbl>
      <w:tblPr>
        <w:tblStyle w:val="18"/>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49" w:hRule="atLeast"/>
          <w:jc w:val="center"/>
        </w:trPr>
        <w:tc>
          <w:tcPr>
            <w:tcW w:w="90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项目符合国家产业政策，在认真落实评价提出的各项污染防治措施，强化生态保护措施，确保环保设施正常稳定运行，切实执行</w:t>
            </w:r>
            <w:r>
              <w:rPr>
                <w:rFonts w:ascii="TimesNewRomanPSMT" w:hAnsi="TimesNewRomanPSMT" w:eastAsia="TimesNewRomanPSMT" w:cs="TimesNewRomanPSMT"/>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三同时</w:t>
            </w:r>
            <w:r>
              <w:rPr>
                <w:rFonts w:hint="default" w:ascii="TimesNewRomanPSMT" w:hAnsi="TimesNewRomanPSMT" w:eastAsia="TimesNewRomanPSMT" w:cs="TimesNewRomanPSMT"/>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前提下，污染物能够达标排放，对周围环境影响小。从环境保护的角度分析，该项目建设可行。</w:t>
            </w:r>
          </w:p>
        </w:tc>
      </w:tr>
    </w:tbl>
    <w:p>
      <w:pPr>
        <w:rPr>
          <w:rFonts w:ascii="宋体"/>
          <w:color w:val="000000" w:themeColor="text1"/>
          <w14:textFill>
            <w14:solidFill>
              <w14:schemeClr w14:val="tx1"/>
            </w14:solidFill>
          </w14:textFill>
        </w:rPr>
      </w:pPr>
    </w:p>
    <w:p>
      <w:pPr>
        <w:adjustRightInd w:val="0"/>
        <w:snapToGrid w:val="0"/>
        <w:spacing w:before="192" w:beforeLines="80"/>
        <w:rPr>
          <w:rFonts w:ascii="宋体"/>
          <w:color w:val="000000" w:themeColor="text1"/>
          <w14:textFill>
            <w14:solidFill>
              <w14:schemeClr w14:val="tx1"/>
            </w14:solidFill>
          </w14:textFill>
        </w:rPr>
      </w:pPr>
    </w:p>
    <w:sectPr>
      <w:pgSz w:w="11906" w:h="16838"/>
      <w:pgMar w:top="1440" w:right="1800" w:bottom="1440" w:left="1800" w:header="851" w:footer="1077"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imesNewRomanPSMT">
    <w:altName w:val="等线"/>
    <w:panose1 w:val="00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1"/>
        <w:rFonts w:ascii="宋体" w:hAnsi="宋体"/>
        <w:sz w:val="28"/>
        <w:szCs w:val="28"/>
      </w:rPr>
    </w:pPr>
    <w:r>
      <w:rPr>
        <w:rStyle w:val="21"/>
        <w:rFonts w:hint="eastAsia" w:ascii="宋体" w:hAnsi="宋体"/>
        <w:sz w:val="28"/>
        <w:szCs w:val="28"/>
      </w:rPr>
      <w:t>—</w:t>
    </w:r>
    <w:r>
      <w:rPr>
        <w:rStyle w:val="21"/>
        <w:rFonts w:hint="eastAsia" w:ascii="宋体" w:hAnsi="宋体"/>
        <w:sz w:val="20"/>
        <w:szCs w:val="20"/>
      </w:rPr>
      <w:t xml:space="preserve"> </w:t>
    </w:r>
    <w:r>
      <w:rPr>
        <w:rStyle w:val="21"/>
        <w:rFonts w:hint="default" w:ascii="Times New Roman" w:hAnsi="Times New Roman" w:cs="Times New Roman"/>
        <w:sz w:val="20"/>
        <w:szCs w:val="20"/>
      </w:rPr>
      <w:t xml:space="preserve"> </w:t>
    </w:r>
    <w:r>
      <w:rPr>
        <w:rStyle w:val="21"/>
        <w:rFonts w:hint="default" w:ascii="Times New Roman" w:hAnsi="Times New Roman" w:cs="Times New Roman"/>
        <w:sz w:val="26"/>
        <w:szCs w:val="26"/>
      </w:rPr>
      <w:fldChar w:fldCharType="begin"/>
    </w:r>
    <w:r>
      <w:rPr>
        <w:rStyle w:val="21"/>
        <w:rFonts w:hint="default" w:ascii="Times New Roman" w:hAnsi="Times New Roman" w:cs="Times New Roman"/>
        <w:sz w:val="26"/>
        <w:szCs w:val="26"/>
      </w:rPr>
      <w:instrText xml:space="preserve">PAGE  </w:instrText>
    </w:r>
    <w:r>
      <w:rPr>
        <w:rStyle w:val="21"/>
        <w:rFonts w:hint="default" w:ascii="Times New Roman" w:hAnsi="Times New Roman" w:cs="Times New Roman"/>
        <w:sz w:val="26"/>
        <w:szCs w:val="26"/>
      </w:rPr>
      <w:fldChar w:fldCharType="separate"/>
    </w:r>
    <w:r>
      <w:rPr>
        <w:rStyle w:val="21"/>
        <w:rFonts w:hint="default" w:ascii="Times New Roman" w:hAnsi="Times New Roman" w:cs="Times New Roman"/>
        <w:sz w:val="26"/>
        <w:szCs w:val="26"/>
      </w:rPr>
      <w:t>22</w:t>
    </w:r>
    <w:r>
      <w:rPr>
        <w:rStyle w:val="21"/>
        <w:rFonts w:hint="default" w:ascii="Times New Roman" w:hAnsi="Times New Roman" w:cs="Times New Roman"/>
        <w:sz w:val="26"/>
        <w:szCs w:val="26"/>
      </w:rPr>
      <w:fldChar w:fldCharType="end"/>
    </w:r>
    <w:r>
      <w:rPr>
        <w:rStyle w:val="21"/>
        <w:rFonts w:hint="eastAsia" w:ascii="宋体" w:hAnsi="宋体"/>
        <w:sz w:val="20"/>
        <w:szCs w:val="20"/>
      </w:rPr>
      <w:t xml:space="preserve">  </w:t>
    </w:r>
    <w:r>
      <w:rPr>
        <w:rStyle w:val="21"/>
        <w:rFonts w:hint="eastAsia" w:ascii="宋体" w:hAnsi="宋体"/>
        <w:sz w:val="28"/>
        <w:szCs w:val="28"/>
      </w:rPr>
      <w:t>—</w:t>
    </w:r>
  </w:p>
  <w:p>
    <w:pPr>
      <w:pStyle w:val="14"/>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1CED"/>
    <w:rsid w:val="00001E67"/>
    <w:rsid w:val="00003CD8"/>
    <w:rsid w:val="00014965"/>
    <w:rsid w:val="0001523A"/>
    <w:rsid w:val="00016ECB"/>
    <w:rsid w:val="000269F6"/>
    <w:rsid w:val="00031939"/>
    <w:rsid w:val="00032D25"/>
    <w:rsid w:val="0005219D"/>
    <w:rsid w:val="0005568F"/>
    <w:rsid w:val="0006153D"/>
    <w:rsid w:val="00061B1F"/>
    <w:rsid w:val="000664DB"/>
    <w:rsid w:val="0007127D"/>
    <w:rsid w:val="00071AE5"/>
    <w:rsid w:val="00074783"/>
    <w:rsid w:val="000801E0"/>
    <w:rsid w:val="00082A29"/>
    <w:rsid w:val="0008331D"/>
    <w:rsid w:val="00083C18"/>
    <w:rsid w:val="00092899"/>
    <w:rsid w:val="000A178E"/>
    <w:rsid w:val="000A557E"/>
    <w:rsid w:val="000B058F"/>
    <w:rsid w:val="000B693F"/>
    <w:rsid w:val="000C09AC"/>
    <w:rsid w:val="000C0A63"/>
    <w:rsid w:val="000C437E"/>
    <w:rsid w:val="000E5F16"/>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7A07"/>
    <w:rsid w:val="0017046A"/>
    <w:rsid w:val="001704A3"/>
    <w:rsid w:val="0017504D"/>
    <w:rsid w:val="00177422"/>
    <w:rsid w:val="00184F10"/>
    <w:rsid w:val="00185546"/>
    <w:rsid w:val="0019146B"/>
    <w:rsid w:val="00194398"/>
    <w:rsid w:val="001A7D2A"/>
    <w:rsid w:val="001B574C"/>
    <w:rsid w:val="001C0AF9"/>
    <w:rsid w:val="001C155A"/>
    <w:rsid w:val="001C48C0"/>
    <w:rsid w:val="001D6726"/>
    <w:rsid w:val="001F3347"/>
    <w:rsid w:val="001F4440"/>
    <w:rsid w:val="001F69E4"/>
    <w:rsid w:val="00206A65"/>
    <w:rsid w:val="00212D31"/>
    <w:rsid w:val="002130C7"/>
    <w:rsid w:val="002218A8"/>
    <w:rsid w:val="0022306D"/>
    <w:rsid w:val="00226574"/>
    <w:rsid w:val="002278EC"/>
    <w:rsid w:val="002357C7"/>
    <w:rsid w:val="002367C4"/>
    <w:rsid w:val="0025679E"/>
    <w:rsid w:val="00260C68"/>
    <w:rsid w:val="002648B0"/>
    <w:rsid w:val="00275271"/>
    <w:rsid w:val="0027535E"/>
    <w:rsid w:val="00275AA6"/>
    <w:rsid w:val="002807D5"/>
    <w:rsid w:val="00282CCD"/>
    <w:rsid w:val="002A168C"/>
    <w:rsid w:val="002A2C48"/>
    <w:rsid w:val="002A3EED"/>
    <w:rsid w:val="002A4A39"/>
    <w:rsid w:val="002A5A17"/>
    <w:rsid w:val="002A6425"/>
    <w:rsid w:val="002B49E2"/>
    <w:rsid w:val="002B7B00"/>
    <w:rsid w:val="002B7C44"/>
    <w:rsid w:val="002C1388"/>
    <w:rsid w:val="002C3C6A"/>
    <w:rsid w:val="002D42DB"/>
    <w:rsid w:val="002E1F3A"/>
    <w:rsid w:val="002E298A"/>
    <w:rsid w:val="002F02A4"/>
    <w:rsid w:val="002F272B"/>
    <w:rsid w:val="002F7C6D"/>
    <w:rsid w:val="003027E4"/>
    <w:rsid w:val="0030332C"/>
    <w:rsid w:val="00312296"/>
    <w:rsid w:val="0031340E"/>
    <w:rsid w:val="00316464"/>
    <w:rsid w:val="0032073A"/>
    <w:rsid w:val="00321D8E"/>
    <w:rsid w:val="00334996"/>
    <w:rsid w:val="00336969"/>
    <w:rsid w:val="00336C52"/>
    <w:rsid w:val="00341B3E"/>
    <w:rsid w:val="00341B42"/>
    <w:rsid w:val="00345154"/>
    <w:rsid w:val="0034560E"/>
    <w:rsid w:val="00350523"/>
    <w:rsid w:val="00352975"/>
    <w:rsid w:val="00356868"/>
    <w:rsid w:val="0036485B"/>
    <w:rsid w:val="00373B0D"/>
    <w:rsid w:val="00376988"/>
    <w:rsid w:val="00381A72"/>
    <w:rsid w:val="003A1948"/>
    <w:rsid w:val="003B152A"/>
    <w:rsid w:val="003B545B"/>
    <w:rsid w:val="003D3EE9"/>
    <w:rsid w:val="003E7681"/>
    <w:rsid w:val="003F0809"/>
    <w:rsid w:val="003F611C"/>
    <w:rsid w:val="003F755C"/>
    <w:rsid w:val="00406F01"/>
    <w:rsid w:val="00411B36"/>
    <w:rsid w:val="004121D7"/>
    <w:rsid w:val="00416D50"/>
    <w:rsid w:val="00417772"/>
    <w:rsid w:val="00420E6A"/>
    <w:rsid w:val="00433CA9"/>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A0EB4"/>
    <w:rsid w:val="004A3823"/>
    <w:rsid w:val="004A59BB"/>
    <w:rsid w:val="004B2319"/>
    <w:rsid w:val="004B43A3"/>
    <w:rsid w:val="004B4C49"/>
    <w:rsid w:val="004B58A5"/>
    <w:rsid w:val="004B63D9"/>
    <w:rsid w:val="004C0882"/>
    <w:rsid w:val="004C55B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44D1A"/>
    <w:rsid w:val="00554A7B"/>
    <w:rsid w:val="0055572C"/>
    <w:rsid w:val="0056064F"/>
    <w:rsid w:val="00561B84"/>
    <w:rsid w:val="00571D98"/>
    <w:rsid w:val="005720AE"/>
    <w:rsid w:val="0058030D"/>
    <w:rsid w:val="00582045"/>
    <w:rsid w:val="00590AE3"/>
    <w:rsid w:val="005918F1"/>
    <w:rsid w:val="005A06B7"/>
    <w:rsid w:val="005A1759"/>
    <w:rsid w:val="005C5102"/>
    <w:rsid w:val="005D0369"/>
    <w:rsid w:val="005D53FE"/>
    <w:rsid w:val="005D7A0F"/>
    <w:rsid w:val="005E0438"/>
    <w:rsid w:val="005E1791"/>
    <w:rsid w:val="005E2CE6"/>
    <w:rsid w:val="005E6324"/>
    <w:rsid w:val="005F228B"/>
    <w:rsid w:val="005F29CD"/>
    <w:rsid w:val="005F4DFB"/>
    <w:rsid w:val="005F6CC0"/>
    <w:rsid w:val="005F7E31"/>
    <w:rsid w:val="00603E5B"/>
    <w:rsid w:val="00604BC8"/>
    <w:rsid w:val="00615B4C"/>
    <w:rsid w:val="00615B5D"/>
    <w:rsid w:val="0062146F"/>
    <w:rsid w:val="006343AF"/>
    <w:rsid w:val="0063634A"/>
    <w:rsid w:val="0064250D"/>
    <w:rsid w:val="006535EB"/>
    <w:rsid w:val="00663016"/>
    <w:rsid w:val="00674605"/>
    <w:rsid w:val="006748B8"/>
    <w:rsid w:val="0068535B"/>
    <w:rsid w:val="0068736E"/>
    <w:rsid w:val="0069290A"/>
    <w:rsid w:val="00697032"/>
    <w:rsid w:val="006975AC"/>
    <w:rsid w:val="006A15FB"/>
    <w:rsid w:val="006A72BF"/>
    <w:rsid w:val="006B332A"/>
    <w:rsid w:val="006B33BD"/>
    <w:rsid w:val="006C3F75"/>
    <w:rsid w:val="006D170E"/>
    <w:rsid w:val="006E06AF"/>
    <w:rsid w:val="006F1789"/>
    <w:rsid w:val="00706C5D"/>
    <w:rsid w:val="007118E6"/>
    <w:rsid w:val="007225C9"/>
    <w:rsid w:val="00735CD7"/>
    <w:rsid w:val="00754034"/>
    <w:rsid w:val="00754BF1"/>
    <w:rsid w:val="00755A30"/>
    <w:rsid w:val="00755E1C"/>
    <w:rsid w:val="00756556"/>
    <w:rsid w:val="0076132B"/>
    <w:rsid w:val="007623AE"/>
    <w:rsid w:val="00770B19"/>
    <w:rsid w:val="00774FA0"/>
    <w:rsid w:val="00776620"/>
    <w:rsid w:val="00777B6D"/>
    <w:rsid w:val="00784855"/>
    <w:rsid w:val="00784F39"/>
    <w:rsid w:val="0078545C"/>
    <w:rsid w:val="007906C4"/>
    <w:rsid w:val="007940EA"/>
    <w:rsid w:val="007967E8"/>
    <w:rsid w:val="007A63F2"/>
    <w:rsid w:val="007B68DE"/>
    <w:rsid w:val="007C1857"/>
    <w:rsid w:val="007C514F"/>
    <w:rsid w:val="007D0F95"/>
    <w:rsid w:val="007D7ECB"/>
    <w:rsid w:val="007E25A1"/>
    <w:rsid w:val="007E4BD2"/>
    <w:rsid w:val="007E7145"/>
    <w:rsid w:val="007F3916"/>
    <w:rsid w:val="00801179"/>
    <w:rsid w:val="00802479"/>
    <w:rsid w:val="00805372"/>
    <w:rsid w:val="00805B7B"/>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4285"/>
    <w:rsid w:val="008A40AE"/>
    <w:rsid w:val="008A4E19"/>
    <w:rsid w:val="008A67C5"/>
    <w:rsid w:val="008B22E1"/>
    <w:rsid w:val="008B3C78"/>
    <w:rsid w:val="008B4AE9"/>
    <w:rsid w:val="008C30AD"/>
    <w:rsid w:val="008D068E"/>
    <w:rsid w:val="008D0F7A"/>
    <w:rsid w:val="008D63BE"/>
    <w:rsid w:val="008E0CFF"/>
    <w:rsid w:val="008E5D6B"/>
    <w:rsid w:val="008E689B"/>
    <w:rsid w:val="008E76F0"/>
    <w:rsid w:val="008F15FE"/>
    <w:rsid w:val="008F2A94"/>
    <w:rsid w:val="008F5187"/>
    <w:rsid w:val="008F709C"/>
    <w:rsid w:val="0090312B"/>
    <w:rsid w:val="00904961"/>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A0F3B"/>
    <w:rsid w:val="009A72C7"/>
    <w:rsid w:val="009B0897"/>
    <w:rsid w:val="009B3DB2"/>
    <w:rsid w:val="009D0852"/>
    <w:rsid w:val="009D1FBF"/>
    <w:rsid w:val="009E399C"/>
    <w:rsid w:val="009E43C1"/>
    <w:rsid w:val="009E7E95"/>
    <w:rsid w:val="009F116F"/>
    <w:rsid w:val="009F329E"/>
    <w:rsid w:val="009F7ED3"/>
    <w:rsid w:val="00A03607"/>
    <w:rsid w:val="00A047FF"/>
    <w:rsid w:val="00A04FEF"/>
    <w:rsid w:val="00A122CD"/>
    <w:rsid w:val="00A12A32"/>
    <w:rsid w:val="00A14248"/>
    <w:rsid w:val="00A14947"/>
    <w:rsid w:val="00A23DC5"/>
    <w:rsid w:val="00A34028"/>
    <w:rsid w:val="00A35568"/>
    <w:rsid w:val="00A37056"/>
    <w:rsid w:val="00A4358F"/>
    <w:rsid w:val="00A46F67"/>
    <w:rsid w:val="00A54AA1"/>
    <w:rsid w:val="00A568FF"/>
    <w:rsid w:val="00A61496"/>
    <w:rsid w:val="00A61833"/>
    <w:rsid w:val="00A624C6"/>
    <w:rsid w:val="00A63CEC"/>
    <w:rsid w:val="00A7031E"/>
    <w:rsid w:val="00A728B1"/>
    <w:rsid w:val="00A763DE"/>
    <w:rsid w:val="00A803D6"/>
    <w:rsid w:val="00A81282"/>
    <w:rsid w:val="00A8713F"/>
    <w:rsid w:val="00A91167"/>
    <w:rsid w:val="00A9171C"/>
    <w:rsid w:val="00A92FFD"/>
    <w:rsid w:val="00A95975"/>
    <w:rsid w:val="00A9708D"/>
    <w:rsid w:val="00AA2C17"/>
    <w:rsid w:val="00AA4172"/>
    <w:rsid w:val="00AB1914"/>
    <w:rsid w:val="00AB5330"/>
    <w:rsid w:val="00AB7747"/>
    <w:rsid w:val="00AC2532"/>
    <w:rsid w:val="00AD1507"/>
    <w:rsid w:val="00AD5A70"/>
    <w:rsid w:val="00AD738B"/>
    <w:rsid w:val="00AE1BF4"/>
    <w:rsid w:val="00AE5D97"/>
    <w:rsid w:val="00AE6794"/>
    <w:rsid w:val="00B01110"/>
    <w:rsid w:val="00B02262"/>
    <w:rsid w:val="00B03CEC"/>
    <w:rsid w:val="00B1209F"/>
    <w:rsid w:val="00B12AD0"/>
    <w:rsid w:val="00B24F30"/>
    <w:rsid w:val="00B31ABF"/>
    <w:rsid w:val="00B335AE"/>
    <w:rsid w:val="00B37CE1"/>
    <w:rsid w:val="00B40ACF"/>
    <w:rsid w:val="00B46BAA"/>
    <w:rsid w:val="00B50B5F"/>
    <w:rsid w:val="00B54128"/>
    <w:rsid w:val="00B55826"/>
    <w:rsid w:val="00B60426"/>
    <w:rsid w:val="00B622DD"/>
    <w:rsid w:val="00B63522"/>
    <w:rsid w:val="00B76F1D"/>
    <w:rsid w:val="00B92A19"/>
    <w:rsid w:val="00B9544C"/>
    <w:rsid w:val="00BA29E9"/>
    <w:rsid w:val="00BB3618"/>
    <w:rsid w:val="00BC0C9E"/>
    <w:rsid w:val="00BC32DC"/>
    <w:rsid w:val="00BD1B51"/>
    <w:rsid w:val="00BD47F6"/>
    <w:rsid w:val="00BE312D"/>
    <w:rsid w:val="00BE3FCA"/>
    <w:rsid w:val="00C05719"/>
    <w:rsid w:val="00C10578"/>
    <w:rsid w:val="00C17D62"/>
    <w:rsid w:val="00C21FDC"/>
    <w:rsid w:val="00C24EE7"/>
    <w:rsid w:val="00C2596A"/>
    <w:rsid w:val="00C271BE"/>
    <w:rsid w:val="00C27425"/>
    <w:rsid w:val="00C328FE"/>
    <w:rsid w:val="00C33A05"/>
    <w:rsid w:val="00C42500"/>
    <w:rsid w:val="00C4409D"/>
    <w:rsid w:val="00C455BE"/>
    <w:rsid w:val="00C51E5F"/>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15727"/>
    <w:rsid w:val="00D16332"/>
    <w:rsid w:val="00D24972"/>
    <w:rsid w:val="00D2515E"/>
    <w:rsid w:val="00D308ED"/>
    <w:rsid w:val="00D56178"/>
    <w:rsid w:val="00D56CF0"/>
    <w:rsid w:val="00D56F5C"/>
    <w:rsid w:val="00D704B1"/>
    <w:rsid w:val="00D70B63"/>
    <w:rsid w:val="00D72B92"/>
    <w:rsid w:val="00D72ED4"/>
    <w:rsid w:val="00D73F61"/>
    <w:rsid w:val="00D754C0"/>
    <w:rsid w:val="00D776A2"/>
    <w:rsid w:val="00D801C4"/>
    <w:rsid w:val="00D90836"/>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F1930"/>
    <w:rsid w:val="00DF514A"/>
    <w:rsid w:val="00E0358D"/>
    <w:rsid w:val="00E06327"/>
    <w:rsid w:val="00E2064B"/>
    <w:rsid w:val="00E25239"/>
    <w:rsid w:val="00E265B1"/>
    <w:rsid w:val="00E275B0"/>
    <w:rsid w:val="00E412D0"/>
    <w:rsid w:val="00E47CDB"/>
    <w:rsid w:val="00E566BC"/>
    <w:rsid w:val="00E60982"/>
    <w:rsid w:val="00E60C8D"/>
    <w:rsid w:val="00E6162F"/>
    <w:rsid w:val="00E6311B"/>
    <w:rsid w:val="00E65D97"/>
    <w:rsid w:val="00E67EFD"/>
    <w:rsid w:val="00E702DC"/>
    <w:rsid w:val="00E71FFB"/>
    <w:rsid w:val="00E76D1D"/>
    <w:rsid w:val="00E806F8"/>
    <w:rsid w:val="00E87752"/>
    <w:rsid w:val="00E8793B"/>
    <w:rsid w:val="00E90F81"/>
    <w:rsid w:val="00E91A6D"/>
    <w:rsid w:val="00E9242D"/>
    <w:rsid w:val="00EB041C"/>
    <w:rsid w:val="00EC5874"/>
    <w:rsid w:val="00EC5F18"/>
    <w:rsid w:val="00ED192D"/>
    <w:rsid w:val="00ED30B4"/>
    <w:rsid w:val="00ED31F5"/>
    <w:rsid w:val="00EF2759"/>
    <w:rsid w:val="00EF45EB"/>
    <w:rsid w:val="00EF5099"/>
    <w:rsid w:val="00EF5E33"/>
    <w:rsid w:val="00F00075"/>
    <w:rsid w:val="00F07822"/>
    <w:rsid w:val="00F15C95"/>
    <w:rsid w:val="00F22985"/>
    <w:rsid w:val="00F241AB"/>
    <w:rsid w:val="00F31382"/>
    <w:rsid w:val="00F35829"/>
    <w:rsid w:val="00F42868"/>
    <w:rsid w:val="00F465A7"/>
    <w:rsid w:val="00F50B7C"/>
    <w:rsid w:val="00F5202D"/>
    <w:rsid w:val="00F52CF6"/>
    <w:rsid w:val="00F54496"/>
    <w:rsid w:val="00F61097"/>
    <w:rsid w:val="00F74345"/>
    <w:rsid w:val="00F74441"/>
    <w:rsid w:val="00F77F30"/>
    <w:rsid w:val="00F82589"/>
    <w:rsid w:val="00F82B19"/>
    <w:rsid w:val="00F90AA7"/>
    <w:rsid w:val="00F9212D"/>
    <w:rsid w:val="00FA301A"/>
    <w:rsid w:val="00FA406A"/>
    <w:rsid w:val="00FA5CB6"/>
    <w:rsid w:val="00FC66AC"/>
    <w:rsid w:val="00FD18F4"/>
    <w:rsid w:val="00FD74B4"/>
    <w:rsid w:val="00FF6FCE"/>
    <w:rsid w:val="00FF7518"/>
    <w:rsid w:val="00FF7FD8"/>
    <w:rsid w:val="01355161"/>
    <w:rsid w:val="0159106A"/>
    <w:rsid w:val="01671320"/>
    <w:rsid w:val="01E97B0D"/>
    <w:rsid w:val="01F508A6"/>
    <w:rsid w:val="02404017"/>
    <w:rsid w:val="02471CD9"/>
    <w:rsid w:val="025F4F2B"/>
    <w:rsid w:val="027B085D"/>
    <w:rsid w:val="028A207E"/>
    <w:rsid w:val="029B7DBB"/>
    <w:rsid w:val="02A31B50"/>
    <w:rsid w:val="02E573C6"/>
    <w:rsid w:val="02E6502B"/>
    <w:rsid w:val="02ED7521"/>
    <w:rsid w:val="02FA7EEA"/>
    <w:rsid w:val="03096A63"/>
    <w:rsid w:val="031E6A3D"/>
    <w:rsid w:val="03640303"/>
    <w:rsid w:val="036763A9"/>
    <w:rsid w:val="03A612E8"/>
    <w:rsid w:val="040A2C40"/>
    <w:rsid w:val="042148FD"/>
    <w:rsid w:val="04527623"/>
    <w:rsid w:val="048518EF"/>
    <w:rsid w:val="0488229F"/>
    <w:rsid w:val="04AF1EEE"/>
    <w:rsid w:val="04E8799B"/>
    <w:rsid w:val="054D499F"/>
    <w:rsid w:val="05742AC8"/>
    <w:rsid w:val="05A212A4"/>
    <w:rsid w:val="05E440E4"/>
    <w:rsid w:val="06352F05"/>
    <w:rsid w:val="063E7D85"/>
    <w:rsid w:val="070875E0"/>
    <w:rsid w:val="07293586"/>
    <w:rsid w:val="07295285"/>
    <w:rsid w:val="073129FF"/>
    <w:rsid w:val="07770C56"/>
    <w:rsid w:val="0780492F"/>
    <w:rsid w:val="07B2564C"/>
    <w:rsid w:val="07D009B9"/>
    <w:rsid w:val="07D641B9"/>
    <w:rsid w:val="08243F9A"/>
    <w:rsid w:val="088B0C3D"/>
    <w:rsid w:val="08971CC8"/>
    <w:rsid w:val="08A956F3"/>
    <w:rsid w:val="08D761C6"/>
    <w:rsid w:val="08FA2989"/>
    <w:rsid w:val="092217DD"/>
    <w:rsid w:val="092B23F0"/>
    <w:rsid w:val="093A7294"/>
    <w:rsid w:val="09C44268"/>
    <w:rsid w:val="09C74A0C"/>
    <w:rsid w:val="0A405FAD"/>
    <w:rsid w:val="0A6E44AA"/>
    <w:rsid w:val="0A706DB5"/>
    <w:rsid w:val="0A742F3D"/>
    <w:rsid w:val="0A85088B"/>
    <w:rsid w:val="0A8920DE"/>
    <w:rsid w:val="0A9E68F4"/>
    <w:rsid w:val="0AA107A3"/>
    <w:rsid w:val="0B027E2D"/>
    <w:rsid w:val="0B2A0F1B"/>
    <w:rsid w:val="0B6C5CC0"/>
    <w:rsid w:val="0B8549E2"/>
    <w:rsid w:val="0B8D6B8E"/>
    <w:rsid w:val="0B925497"/>
    <w:rsid w:val="0BBB73D6"/>
    <w:rsid w:val="0BD27BF6"/>
    <w:rsid w:val="0BD839D1"/>
    <w:rsid w:val="0C5D74A3"/>
    <w:rsid w:val="0C6138E4"/>
    <w:rsid w:val="0C72742E"/>
    <w:rsid w:val="0CE0535D"/>
    <w:rsid w:val="0CEE5CED"/>
    <w:rsid w:val="0D2049B8"/>
    <w:rsid w:val="0DC11F00"/>
    <w:rsid w:val="0DDB67F4"/>
    <w:rsid w:val="0DF96661"/>
    <w:rsid w:val="0E0E0051"/>
    <w:rsid w:val="0E110D06"/>
    <w:rsid w:val="0E914055"/>
    <w:rsid w:val="0F13775A"/>
    <w:rsid w:val="0F51020A"/>
    <w:rsid w:val="0F5B3E32"/>
    <w:rsid w:val="0F947194"/>
    <w:rsid w:val="0F9A112B"/>
    <w:rsid w:val="0FE32AAF"/>
    <w:rsid w:val="0FF85DA4"/>
    <w:rsid w:val="100E0493"/>
    <w:rsid w:val="106D2F64"/>
    <w:rsid w:val="109E7B49"/>
    <w:rsid w:val="10A126A7"/>
    <w:rsid w:val="10B41CA5"/>
    <w:rsid w:val="10B63710"/>
    <w:rsid w:val="10EB1C37"/>
    <w:rsid w:val="10FA6A2C"/>
    <w:rsid w:val="1105236A"/>
    <w:rsid w:val="11103C3E"/>
    <w:rsid w:val="111C2F7A"/>
    <w:rsid w:val="113013DE"/>
    <w:rsid w:val="113B159F"/>
    <w:rsid w:val="114D2F3D"/>
    <w:rsid w:val="11731F6C"/>
    <w:rsid w:val="11837203"/>
    <w:rsid w:val="11EB44C7"/>
    <w:rsid w:val="11EC37EB"/>
    <w:rsid w:val="122B06C2"/>
    <w:rsid w:val="124F2CBE"/>
    <w:rsid w:val="125A28A6"/>
    <w:rsid w:val="125D4D72"/>
    <w:rsid w:val="12A508CE"/>
    <w:rsid w:val="13012B84"/>
    <w:rsid w:val="130D6888"/>
    <w:rsid w:val="138A67D0"/>
    <w:rsid w:val="13951726"/>
    <w:rsid w:val="13CE3A19"/>
    <w:rsid w:val="14103F22"/>
    <w:rsid w:val="14150453"/>
    <w:rsid w:val="14396509"/>
    <w:rsid w:val="1447165C"/>
    <w:rsid w:val="14970DB7"/>
    <w:rsid w:val="1499718F"/>
    <w:rsid w:val="149D03CF"/>
    <w:rsid w:val="14CB1F0D"/>
    <w:rsid w:val="14FE76FE"/>
    <w:rsid w:val="156C665C"/>
    <w:rsid w:val="16F74ABE"/>
    <w:rsid w:val="17174D51"/>
    <w:rsid w:val="17493218"/>
    <w:rsid w:val="17735226"/>
    <w:rsid w:val="177E50E5"/>
    <w:rsid w:val="17B74AE0"/>
    <w:rsid w:val="17C56745"/>
    <w:rsid w:val="17E14C67"/>
    <w:rsid w:val="182C38E2"/>
    <w:rsid w:val="18316C48"/>
    <w:rsid w:val="18566CAC"/>
    <w:rsid w:val="18BD411B"/>
    <w:rsid w:val="18E117C7"/>
    <w:rsid w:val="190456DC"/>
    <w:rsid w:val="197A0DCA"/>
    <w:rsid w:val="19C836F2"/>
    <w:rsid w:val="19D34E8B"/>
    <w:rsid w:val="19D43228"/>
    <w:rsid w:val="19E628C3"/>
    <w:rsid w:val="1A0F05ED"/>
    <w:rsid w:val="1A1C66C0"/>
    <w:rsid w:val="1A210F70"/>
    <w:rsid w:val="1A233563"/>
    <w:rsid w:val="1A42393B"/>
    <w:rsid w:val="1A457A65"/>
    <w:rsid w:val="1A657611"/>
    <w:rsid w:val="1A72762D"/>
    <w:rsid w:val="1AD47D8B"/>
    <w:rsid w:val="1AEB6174"/>
    <w:rsid w:val="1AF13F80"/>
    <w:rsid w:val="1AF512C3"/>
    <w:rsid w:val="1B032950"/>
    <w:rsid w:val="1B046F80"/>
    <w:rsid w:val="1B3267B5"/>
    <w:rsid w:val="1B7A3128"/>
    <w:rsid w:val="1BC25DC8"/>
    <w:rsid w:val="1BC776B2"/>
    <w:rsid w:val="1BD20F5B"/>
    <w:rsid w:val="1BDE7506"/>
    <w:rsid w:val="1BF130E9"/>
    <w:rsid w:val="1C5E7925"/>
    <w:rsid w:val="1C79769B"/>
    <w:rsid w:val="1C887FC8"/>
    <w:rsid w:val="1CB9471F"/>
    <w:rsid w:val="1CE96F86"/>
    <w:rsid w:val="1CF3291F"/>
    <w:rsid w:val="1D095C3C"/>
    <w:rsid w:val="1D21297E"/>
    <w:rsid w:val="1D477732"/>
    <w:rsid w:val="1D4B4876"/>
    <w:rsid w:val="1D5F6196"/>
    <w:rsid w:val="1D6132A5"/>
    <w:rsid w:val="1D837DA3"/>
    <w:rsid w:val="1D8A6997"/>
    <w:rsid w:val="1D8E56D5"/>
    <w:rsid w:val="1DCD17F6"/>
    <w:rsid w:val="1E1F0277"/>
    <w:rsid w:val="1E375F45"/>
    <w:rsid w:val="1E431072"/>
    <w:rsid w:val="1E431494"/>
    <w:rsid w:val="1E611B91"/>
    <w:rsid w:val="1E751A4B"/>
    <w:rsid w:val="1E7A43DA"/>
    <w:rsid w:val="1EB277FE"/>
    <w:rsid w:val="1EDB1FA3"/>
    <w:rsid w:val="1EFD2AEF"/>
    <w:rsid w:val="1F086519"/>
    <w:rsid w:val="1F277D4B"/>
    <w:rsid w:val="1F467670"/>
    <w:rsid w:val="1F6E6809"/>
    <w:rsid w:val="1F755D0D"/>
    <w:rsid w:val="1FC73AC5"/>
    <w:rsid w:val="1FE7539E"/>
    <w:rsid w:val="204832BB"/>
    <w:rsid w:val="20631914"/>
    <w:rsid w:val="20963CB8"/>
    <w:rsid w:val="20B07FB6"/>
    <w:rsid w:val="20BC0546"/>
    <w:rsid w:val="20C10115"/>
    <w:rsid w:val="20F64F57"/>
    <w:rsid w:val="2108580D"/>
    <w:rsid w:val="212827F2"/>
    <w:rsid w:val="213B74B1"/>
    <w:rsid w:val="21577F87"/>
    <w:rsid w:val="215A2310"/>
    <w:rsid w:val="216022D9"/>
    <w:rsid w:val="21A803AD"/>
    <w:rsid w:val="21B057C4"/>
    <w:rsid w:val="21C86103"/>
    <w:rsid w:val="21DE318A"/>
    <w:rsid w:val="21EF5B80"/>
    <w:rsid w:val="21FE6E67"/>
    <w:rsid w:val="21FF378E"/>
    <w:rsid w:val="22576990"/>
    <w:rsid w:val="228426C1"/>
    <w:rsid w:val="22926EA4"/>
    <w:rsid w:val="229C4EAB"/>
    <w:rsid w:val="22BD2AAD"/>
    <w:rsid w:val="22E06558"/>
    <w:rsid w:val="22E20919"/>
    <w:rsid w:val="22F65A51"/>
    <w:rsid w:val="22F96E61"/>
    <w:rsid w:val="2335613F"/>
    <w:rsid w:val="233876D1"/>
    <w:rsid w:val="238D3E38"/>
    <w:rsid w:val="23F904DD"/>
    <w:rsid w:val="243419E4"/>
    <w:rsid w:val="244D6058"/>
    <w:rsid w:val="245A2529"/>
    <w:rsid w:val="24BE23A0"/>
    <w:rsid w:val="24CA7C5E"/>
    <w:rsid w:val="252D53FE"/>
    <w:rsid w:val="254C34D5"/>
    <w:rsid w:val="25563FEE"/>
    <w:rsid w:val="255E5BE6"/>
    <w:rsid w:val="256B3F58"/>
    <w:rsid w:val="259B5898"/>
    <w:rsid w:val="25EB0B42"/>
    <w:rsid w:val="25EC2D81"/>
    <w:rsid w:val="25FF093C"/>
    <w:rsid w:val="26221958"/>
    <w:rsid w:val="264528BD"/>
    <w:rsid w:val="2652264D"/>
    <w:rsid w:val="26541F18"/>
    <w:rsid w:val="271C7FCF"/>
    <w:rsid w:val="271F5072"/>
    <w:rsid w:val="27863083"/>
    <w:rsid w:val="27AC0D53"/>
    <w:rsid w:val="27D15DD1"/>
    <w:rsid w:val="28125702"/>
    <w:rsid w:val="28377849"/>
    <w:rsid w:val="284C31A8"/>
    <w:rsid w:val="286812DE"/>
    <w:rsid w:val="287C0559"/>
    <w:rsid w:val="28A76295"/>
    <w:rsid w:val="28AC3079"/>
    <w:rsid w:val="28F5728A"/>
    <w:rsid w:val="29206EB8"/>
    <w:rsid w:val="29396BB5"/>
    <w:rsid w:val="297B2F75"/>
    <w:rsid w:val="29840CEA"/>
    <w:rsid w:val="29D0606A"/>
    <w:rsid w:val="29E325E0"/>
    <w:rsid w:val="29EC75E4"/>
    <w:rsid w:val="29F0234B"/>
    <w:rsid w:val="2A077622"/>
    <w:rsid w:val="2A186036"/>
    <w:rsid w:val="2A193BD9"/>
    <w:rsid w:val="2A452503"/>
    <w:rsid w:val="2A483CAC"/>
    <w:rsid w:val="2A526194"/>
    <w:rsid w:val="2A825376"/>
    <w:rsid w:val="2A854CDB"/>
    <w:rsid w:val="2AE822DB"/>
    <w:rsid w:val="2B492A3A"/>
    <w:rsid w:val="2B6F56B1"/>
    <w:rsid w:val="2B8364BB"/>
    <w:rsid w:val="2BA936A8"/>
    <w:rsid w:val="2C076B3C"/>
    <w:rsid w:val="2C315A5A"/>
    <w:rsid w:val="2C575CCD"/>
    <w:rsid w:val="2C750244"/>
    <w:rsid w:val="2C9906AC"/>
    <w:rsid w:val="2CCC6AFF"/>
    <w:rsid w:val="2CD51031"/>
    <w:rsid w:val="2D0E6DF2"/>
    <w:rsid w:val="2D723E05"/>
    <w:rsid w:val="2D787918"/>
    <w:rsid w:val="2D966A67"/>
    <w:rsid w:val="2D9E56F5"/>
    <w:rsid w:val="2DAD576D"/>
    <w:rsid w:val="2DF77585"/>
    <w:rsid w:val="2DFA6D4D"/>
    <w:rsid w:val="2E096863"/>
    <w:rsid w:val="2E12146A"/>
    <w:rsid w:val="2E497760"/>
    <w:rsid w:val="2E533BFF"/>
    <w:rsid w:val="2E59044B"/>
    <w:rsid w:val="2E667F96"/>
    <w:rsid w:val="2E820E8D"/>
    <w:rsid w:val="2E8226AB"/>
    <w:rsid w:val="2EC84748"/>
    <w:rsid w:val="2F15618A"/>
    <w:rsid w:val="2F5879BE"/>
    <w:rsid w:val="2F832C79"/>
    <w:rsid w:val="2F8646DC"/>
    <w:rsid w:val="2FC66FA1"/>
    <w:rsid w:val="2FCC2BDD"/>
    <w:rsid w:val="2FEF2D58"/>
    <w:rsid w:val="30356F73"/>
    <w:rsid w:val="303743B8"/>
    <w:rsid w:val="304A45D1"/>
    <w:rsid w:val="30580BC9"/>
    <w:rsid w:val="305D3488"/>
    <w:rsid w:val="30975E80"/>
    <w:rsid w:val="30C450E3"/>
    <w:rsid w:val="30F22268"/>
    <w:rsid w:val="311E2ED7"/>
    <w:rsid w:val="312565A2"/>
    <w:rsid w:val="315233BD"/>
    <w:rsid w:val="315C449C"/>
    <w:rsid w:val="31616A16"/>
    <w:rsid w:val="31790EDE"/>
    <w:rsid w:val="317C7221"/>
    <w:rsid w:val="31964795"/>
    <w:rsid w:val="31B82709"/>
    <w:rsid w:val="31C608A7"/>
    <w:rsid w:val="320D5CD2"/>
    <w:rsid w:val="32400B34"/>
    <w:rsid w:val="327A564A"/>
    <w:rsid w:val="328A7ECB"/>
    <w:rsid w:val="329E6876"/>
    <w:rsid w:val="32B325A9"/>
    <w:rsid w:val="33443FC2"/>
    <w:rsid w:val="336813A4"/>
    <w:rsid w:val="33C74687"/>
    <w:rsid w:val="33D934D4"/>
    <w:rsid w:val="33E77BE9"/>
    <w:rsid w:val="33F747A7"/>
    <w:rsid w:val="33FE2F6A"/>
    <w:rsid w:val="340F2145"/>
    <w:rsid w:val="342203CD"/>
    <w:rsid w:val="346E7E1B"/>
    <w:rsid w:val="34721760"/>
    <w:rsid w:val="34981724"/>
    <w:rsid w:val="35100124"/>
    <w:rsid w:val="35464B5B"/>
    <w:rsid w:val="35544C5A"/>
    <w:rsid w:val="35584E0A"/>
    <w:rsid w:val="35C37F33"/>
    <w:rsid w:val="35DB049D"/>
    <w:rsid w:val="36074A7F"/>
    <w:rsid w:val="36114075"/>
    <w:rsid w:val="367E3613"/>
    <w:rsid w:val="36923549"/>
    <w:rsid w:val="369A55FD"/>
    <w:rsid w:val="36B75FBF"/>
    <w:rsid w:val="36BA57D1"/>
    <w:rsid w:val="36FB4891"/>
    <w:rsid w:val="37677F62"/>
    <w:rsid w:val="376C4230"/>
    <w:rsid w:val="37975F80"/>
    <w:rsid w:val="37A0200A"/>
    <w:rsid w:val="37FE689C"/>
    <w:rsid w:val="38012583"/>
    <w:rsid w:val="38453836"/>
    <w:rsid w:val="3847018B"/>
    <w:rsid w:val="387967F2"/>
    <w:rsid w:val="38F12CD3"/>
    <w:rsid w:val="38F94775"/>
    <w:rsid w:val="39193A7A"/>
    <w:rsid w:val="391C4358"/>
    <w:rsid w:val="392971ED"/>
    <w:rsid w:val="392B784D"/>
    <w:rsid w:val="3956503C"/>
    <w:rsid w:val="3977374E"/>
    <w:rsid w:val="39C649BC"/>
    <w:rsid w:val="3A0A02B2"/>
    <w:rsid w:val="3A351542"/>
    <w:rsid w:val="3A3D79DF"/>
    <w:rsid w:val="3A4E51DA"/>
    <w:rsid w:val="3A514912"/>
    <w:rsid w:val="3A567AE1"/>
    <w:rsid w:val="3A876D8F"/>
    <w:rsid w:val="3A9442F3"/>
    <w:rsid w:val="3AC06DD4"/>
    <w:rsid w:val="3B3763D1"/>
    <w:rsid w:val="3B7C339B"/>
    <w:rsid w:val="3BAD55E9"/>
    <w:rsid w:val="3C303540"/>
    <w:rsid w:val="3C533354"/>
    <w:rsid w:val="3C69056C"/>
    <w:rsid w:val="3CDA245A"/>
    <w:rsid w:val="3CE458A9"/>
    <w:rsid w:val="3CEE0A37"/>
    <w:rsid w:val="3D4D4249"/>
    <w:rsid w:val="3D56749C"/>
    <w:rsid w:val="3D901E89"/>
    <w:rsid w:val="3D942AFA"/>
    <w:rsid w:val="3D9D7EFF"/>
    <w:rsid w:val="3DD072BA"/>
    <w:rsid w:val="3DE330EB"/>
    <w:rsid w:val="3E032923"/>
    <w:rsid w:val="3E4310B9"/>
    <w:rsid w:val="3E604055"/>
    <w:rsid w:val="3E753944"/>
    <w:rsid w:val="3EAE2EA4"/>
    <w:rsid w:val="3F1563B8"/>
    <w:rsid w:val="3F1D66D1"/>
    <w:rsid w:val="3F660E74"/>
    <w:rsid w:val="3F98440F"/>
    <w:rsid w:val="3FA47FAF"/>
    <w:rsid w:val="3FB07524"/>
    <w:rsid w:val="3FC57C11"/>
    <w:rsid w:val="3FD03326"/>
    <w:rsid w:val="400C5BE3"/>
    <w:rsid w:val="40197889"/>
    <w:rsid w:val="407A6407"/>
    <w:rsid w:val="408B0C32"/>
    <w:rsid w:val="408D303F"/>
    <w:rsid w:val="40A6082A"/>
    <w:rsid w:val="40C952E0"/>
    <w:rsid w:val="414106DB"/>
    <w:rsid w:val="41636B96"/>
    <w:rsid w:val="421F0850"/>
    <w:rsid w:val="423A3BCC"/>
    <w:rsid w:val="423A6FD1"/>
    <w:rsid w:val="424C0FEE"/>
    <w:rsid w:val="42B70EFA"/>
    <w:rsid w:val="42D61EDF"/>
    <w:rsid w:val="42FE0D70"/>
    <w:rsid w:val="432B7C8F"/>
    <w:rsid w:val="433A6FE6"/>
    <w:rsid w:val="4350713C"/>
    <w:rsid w:val="436653E0"/>
    <w:rsid w:val="43704670"/>
    <w:rsid w:val="43BE164C"/>
    <w:rsid w:val="43CB03AD"/>
    <w:rsid w:val="441A7B06"/>
    <w:rsid w:val="442812BC"/>
    <w:rsid w:val="44380E08"/>
    <w:rsid w:val="44BA4F59"/>
    <w:rsid w:val="44C21664"/>
    <w:rsid w:val="44CD14E0"/>
    <w:rsid w:val="455D5137"/>
    <w:rsid w:val="456532A5"/>
    <w:rsid w:val="4570440A"/>
    <w:rsid w:val="458946E9"/>
    <w:rsid w:val="4610148F"/>
    <w:rsid w:val="46331C83"/>
    <w:rsid w:val="465E13D5"/>
    <w:rsid w:val="46D955A7"/>
    <w:rsid w:val="46E97717"/>
    <w:rsid w:val="46FE3EAF"/>
    <w:rsid w:val="47133957"/>
    <w:rsid w:val="471558DB"/>
    <w:rsid w:val="475E6D42"/>
    <w:rsid w:val="4779329E"/>
    <w:rsid w:val="479E0559"/>
    <w:rsid w:val="47A07E0C"/>
    <w:rsid w:val="47CF2C69"/>
    <w:rsid w:val="47ED5394"/>
    <w:rsid w:val="47EE699B"/>
    <w:rsid w:val="480D39CD"/>
    <w:rsid w:val="484748CC"/>
    <w:rsid w:val="4870272E"/>
    <w:rsid w:val="48DF1BA2"/>
    <w:rsid w:val="49156B5F"/>
    <w:rsid w:val="49395651"/>
    <w:rsid w:val="493D425D"/>
    <w:rsid w:val="49761C3E"/>
    <w:rsid w:val="498608E9"/>
    <w:rsid w:val="499204CE"/>
    <w:rsid w:val="49D21681"/>
    <w:rsid w:val="49DC7715"/>
    <w:rsid w:val="4A023139"/>
    <w:rsid w:val="4A1D1AD6"/>
    <w:rsid w:val="4A7B576F"/>
    <w:rsid w:val="4A8E065B"/>
    <w:rsid w:val="4A9B5AF2"/>
    <w:rsid w:val="4AC848AB"/>
    <w:rsid w:val="4AD74A60"/>
    <w:rsid w:val="4AD9568A"/>
    <w:rsid w:val="4AFF6FE3"/>
    <w:rsid w:val="4B0056EA"/>
    <w:rsid w:val="4B936878"/>
    <w:rsid w:val="4BC018F7"/>
    <w:rsid w:val="4BE0046A"/>
    <w:rsid w:val="4BE60D1E"/>
    <w:rsid w:val="4BFA751A"/>
    <w:rsid w:val="4C0E06D0"/>
    <w:rsid w:val="4C4A0649"/>
    <w:rsid w:val="4C846EF8"/>
    <w:rsid w:val="4C8C7A51"/>
    <w:rsid w:val="4CDA1345"/>
    <w:rsid w:val="4CE16F76"/>
    <w:rsid w:val="4CE470D3"/>
    <w:rsid w:val="4D244AC3"/>
    <w:rsid w:val="4D2D43F3"/>
    <w:rsid w:val="4D5D1F67"/>
    <w:rsid w:val="4DB56E05"/>
    <w:rsid w:val="4DBA1DB1"/>
    <w:rsid w:val="4DDF3885"/>
    <w:rsid w:val="4DEC4FB0"/>
    <w:rsid w:val="4DF76D31"/>
    <w:rsid w:val="4E075D8A"/>
    <w:rsid w:val="4E100097"/>
    <w:rsid w:val="4E205B6B"/>
    <w:rsid w:val="4E271BF3"/>
    <w:rsid w:val="4E344C79"/>
    <w:rsid w:val="4E4B0889"/>
    <w:rsid w:val="4E550D2D"/>
    <w:rsid w:val="4ECA744A"/>
    <w:rsid w:val="4ECE1EDD"/>
    <w:rsid w:val="4F1369AE"/>
    <w:rsid w:val="4F181116"/>
    <w:rsid w:val="4F6259D4"/>
    <w:rsid w:val="4F85328D"/>
    <w:rsid w:val="4FB22CD2"/>
    <w:rsid w:val="4FC62A8C"/>
    <w:rsid w:val="4FE11989"/>
    <w:rsid w:val="4FE20F0D"/>
    <w:rsid w:val="50130A7F"/>
    <w:rsid w:val="503E7E8B"/>
    <w:rsid w:val="504D0276"/>
    <w:rsid w:val="50504C4B"/>
    <w:rsid w:val="50691F0A"/>
    <w:rsid w:val="509C6E7C"/>
    <w:rsid w:val="50A3285B"/>
    <w:rsid w:val="51035B9B"/>
    <w:rsid w:val="512A6CCB"/>
    <w:rsid w:val="51577455"/>
    <w:rsid w:val="5162104E"/>
    <w:rsid w:val="51AE64BD"/>
    <w:rsid w:val="51F43B3C"/>
    <w:rsid w:val="522B29C3"/>
    <w:rsid w:val="52365EFC"/>
    <w:rsid w:val="523A289F"/>
    <w:rsid w:val="529D7285"/>
    <w:rsid w:val="52BF2057"/>
    <w:rsid w:val="52E72A9C"/>
    <w:rsid w:val="52FD3854"/>
    <w:rsid w:val="53447E0C"/>
    <w:rsid w:val="539D4EAB"/>
    <w:rsid w:val="53A039CC"/>
    <w:rsid w:val="53A1505A"/>
    <w:rsid w:val="53A536CD"/>
    <w:rsid w:val="53C42C5D"/>
    <w:rsid w:val="53D005DB"/>
    <w:rsid w:val="54063E08"/>
    <w:rsid w:val="543437E8"/>
    <w:rsid w:val="54360E6A"/>
    <w:rsid w:val="54791140"/>
    <w:rsid w:val="54B012BE"/>
    <w:rsid w:val="552A433B"/>
    <w:rsid w:val="55870699"/>
    <w:rsid w:val="559B174B"/>
    <w:rsid w:val="55C50064"/>
    <w:rsid w:val="55CE0CF4"/>
    <w:rsid w:val="55D50CA4"/>
    <w:rsid w:val="55D920DE"/>
    <w:rsid w:val="55E626DA"/>
    <w:rsid w:val="5618525F"/>
    <w:rsid w:val="562A7CF1"/>
    <w:rsid w:val="56820391"/>
    <w:rsid w:val="56A6135C"/>
    <w:rsid w:val="56B22A9C"/>
    <w:rsid w:val="57413B10"/>
    <w:rsid w:val="575D0C74"/>
    <w:rsid w:val="57610D28"/>
    <w:rsid w:val="57797956"/>
    <w:rsid w:val="57B72A76"/>
    <w:rsid w:val="57BD06DA"/>
    <w:rsid w:val="57C91E94"/>
    <w:rsid w:val="58041F71"/>
    <w:rsid w:val="581360A7"/>
    <w:rsid w:val="58C85AE5"/>
    <w:rsid w:val="58F74567"/>
    <w:rsid w:val="59495182"/>
    <w:rsid w:val="599E37F1"/>
    <w:rsid w:val="5A0F5236"/>
    <w:rsid w:val="5A366D68"/>
    <w:rsid w:val="5A3C747D"/>
    <w:rsid w:val="5A832F49"/>
    <w:rsid w:val="5A8619CF"/>
    <w:rsid w:val="5ABE2233"/>
    <w:rsid w:val="5AEB2C3D"/>
    <w:rsid w:val="5B253A62"/>
    <w:rsid w:val="5B276D18"/>
    <w:rsid w:val="5B7436AA"/>
    <w:rsid w:val="5B922C55"/>
    <w:rsid w:val="5B9506D5"/>
    <w:rsid w:val="5BB97627"/>
    <w:rsid w:val="5BC955A3"/>
    <w:rsid w:val="5BD77A7B"/>
    <w:rsid w:val="5BDF5D95"/>
    <w:rsid w:val="5C7F003B"/>
    <w:rsid w:val="5CC87E90"/>
    <w:rsid w:val="5CF22CEA"/>
    <w:rsid w:val="5D2359D7"/>
    <w:rsid w:val="5D402EB5"/>
    <w:rsid w:val="5D874FE5"/>
    <w:rsid w:val="5DF87A0F"/>
    <w:rsid w:val="5E392868"/>
    <w:rsid w:val="5E3C3273"/>
    <w:rsid w:val="5E684DA8"/>
    <w:rsid w:val="5E86225D"/>
    <w:rsid w:val="5E8B4E1F"/>
    <w:rsid w:val="5EBB2DC7"/>
    <w:rsid w:val="5EED4788"/>
    <w:rsid w:val="5F1A2B43"/>
    <w:rsid w:val="5FB837BB"/>
    <w:rsid w:val="60037957"/>
    <w:rsid w:val="60404AF2"/>
    <w:rsid w:val="60601C7F"/>
    <w:rsid w:val="60611498"/>
    <w:rsid w:val="60925E0B"/>
    <w:rsid w:val="60AF57FF"/>
    <w:rsid w:val="60F76830"/>
    <w:rsid w:val="613A06C7"/>
    <w:rsid w:val="61E43E7E"/>
    <w:rsid w:val="62364782"/>
    <w:rsid w:val="623A48FC"/>
    <w:rsid w:val="624265B2"/>
    <w:rsid w:val="62C730E9"/>
    <w:rsid w:val="62C9440B"/>
    <w:rsid w:val="62F90DF2"/>
    <w:rsid w:val="63003BA0"/>
    <w:rsid w:val="634E20D8"/>
    <w:rsid w:val="63D40BE9"/>
    <w:rsid w:val="63E0211F"/>
    <w:rsid w:val="63F27DC5"/>
    <w:rsid w:val="645953FF"/>
    <w:rsid w:val="646550E8"/>
    <w:rsid w:val="646B2928"/>
    <w:rsid w:val="647E47F5"/>
    <w:rsid w:val="648B1510"/>
    <w:rsid w:val="64905D1B"/>
    <w:rsid w:val="64AF2E56"/>
    <w:rsid w:val="64D32DAE"/>
    <w:rsid w:val="64E77953"/>
    <w:rsid w:val="652358C4"/>
    <w:rsid w:val="65373578"/>
    <w:rsid w:val="654E1CC7"/>
    <w:rsid w:val="657A640F"/>
    <w:rsid w:val="667405C7"/>
    <w:rsid w:val="66792ABD"/>
    <w:rsid w:val="667E5B49"/>
    <w:rsid w:val="66C77A0D"/>
    <w:rsid w:val="670A480A"/>
    <w:rsid w:val="670E47C1"/>
    <w:rsid w:val="673F2C7A"/>
    <w:rsid w:val="6766096F"/>
    <w:rsid w:val="67837293"/>
    <w:rsid w:val="67AF41F9"/>
    <w:rsid w:val="67DC0C08"/>
    <w:rsid w:val="67FE3109"/>
    <w:rsid w:val="67FE4DE2"/>
    <w:rsid w:val="681C45E1"/>
    <w:rsid w:val="681F6961"/>
    <w:rsid w:val="6824696E"/>
    <w:rsid w:val="68610A2F"/>
    <w:rsid w:val="68805514"/>
    <w:rsid w:val="688A6C82"/>
    <w:rsid w:val="68926565"/>
    <w:rsid w:val="6896213D"/>
    <w:rsid w:val="68C5096D"/>
    <w:rsid w:val="691A708C"/>
    <w:rsid w:val="691E305D"/>
    <w:rsid w:val="693A6121"/>
    <w:rsid w:val="694E2071"/>
    <w:rsid w:val="697A3B33"/>
    <w:rsid w:val="699E2456"/>
    <w:rsid w:val="69B32473"/>
    <w:rsid w:val="69F12EC4"/>
    <w:rsid w:val="6A215068"/>
    <w:rsid w:val="6A252208"/>
    <w:rsid w:val="6A3617DC"/>
    <w:rsid w:val="6A5E2636"/>
    <w:rsid w:val="6A865DC0"/>
    <w:rsid w:val="6AC93CA9"/>
    <w:rsid w:val="6AF448BD"/>
    <w:rsid w:val="6B182C25"/>
    <w:rsid w:val="6B1C414F"/>
    <w:rsid w:val="6B322639"/>
    <w:rsid w:val="6B355D87"/>
    <w:rsid w:val="6B383C17"/>
    <w:rsid w:val="6B691F44"/>
    <w:rsid w:val="6BDA63FA"/>
    <w:rsid w:val="6C1E3C6A"/>
    <w:rsid w:val="6C636C38"/>
    <w:rsid w:val="6C695E94"/>
    <w:rsid w:val="6CBE7C3D"/>
    <w:rsid w:val="6D1164B1"/>
    <w:rsid w:val="6D572227"/>
    <w:rsid w:val="6D711122"/>
    <w:rsid w:val="6D7866E1"/>
    <w:rsid w:val="6D8F0A5E"/>
    <w:rsid w:val="6D910F48"/>
    <w:rsid w:val="6DB34098"/>
    <w:rsid w:val="6DB545B6"/>
    <w:rsid w:val="6DD0179B"/>
    <w:rsid w:val="6DE7295D"/>
    <w:rsid w:val="6DFF3DDD"/>
    <w:rsid w:val="6E1919D3"/>
    <w:rsid w:val="6E415B5B"/>
    <w:rsid w:val="6E4375A0"/>
    <w:rsid w:val="6E514CED"/>
    <w:rsid w:val="6E79491A"/>
    <w:rsid w:val="6EAE4047"/>
    <w:rsid w:val="6EB10DCF"/>
    <w:rsid w:val="6EB563D5"/>
    <w:rsid w:val="6EC57DFB"/>
    <w:rsid w:val="6EE15E81"/>
    <w:rsid w:val="6EFE163E"/>
    <w:rsid w:val="6F1F67D0"/>
    <w:rsid w:val="6F225983"/>
    <w:rsid w:val="6F34565C"/>
    <w:rsid w:val="6F391B1F"/>
    <w:rsid w:val="6F3F6E96"/>
    <w:rsid w:val="6FAF3751"/>
    <w:rsid w:val="6FCF538D"/>
    <w:rsid w:val="6FD0024D"/>
    <w:rsid w:val="6FFC5590"/>
    <w:rsid w:val="7005642A"/>
    <w:rsid w:val="70301DA3"/>
    <w:rsid w:val="70423507"/>
    <w:rsid w:val="706D1DD0"/>
    <w:rsid w:val="70717FFF"/>
    <w:rsid w:val="707E5A0F"/>
    <w:rsid w:val="70856B87"/>
    <w:rsid w:val="70BD7C24"/>
    <w:rsid w:val="70D527EE"/>
    <w:rsid w:val="70F03876"/>
    <w:rsid w:val="70F112C2"/>
    <w:rsid w:val="71004AC5"/>
    <w:rsid w:val="71012390"/>
    <w:rsid w:val="715B5300"/>
    <w:rsid w:val="715F4BD7"/>
    <w:rsid w:val="71794456"/>
    <w:rsid w:val="71D27F8A"/>
    <w:rsid w:val="71F744C6"/>
    <w:rsid w:val="71F960CF"/>
    <w:rsid w:val="72054B1E"/>
    <w:rsid w:val="72073285"/>
    <w:rsid w:val="72180DC9"/>
    <w:rsid w:val="721D41E2"/>
    <w:rsid w:val="728348B0"/>
    <w:rsid w:val="730A6681"/>
    <w:rsid w:val="730B364F"/>
    <w:rsid w:val="731F5D5E"/>
    <w:rsid w:val="732A0845"/>
    <w:rsid w:val="73304904"/>
    <w:rsid w:val="73627A07"/>
    <w:rsid w:val="736F0F27"/>
    <w:rsid w:val="73923DAD"/>
    <w:rsid w:val="739D64EA"/>
    <w:rsid w:val="73CD4865"/>
    <w:rsid w:val="73E82DE6"/>
    <w:rsid w:val="741E793C"/>
    <w:rsid w:val="74290E42"/>
    <w:rsid w:val="742C6861"/>
    <w:rsid w:val="745A4739"/>
    <w:rsid w:val="74736D44"/>
    <w:rsid w:val="751C1DE9"/>
    <w:rsid w:val="753777BF"/>
    <w:rsid w:val="75445416"/>
    <w:rsid w:val="75833D3E"/>
    <w:rsid w:val="758D75E2"/>
    <w:rsid w:val="75E656C3"/>
    <w:rsid w:val="75FD136D"/>
    <w:rsid w:val="761F0164"/>
    <w:rsid w:val="763518E7"/>
    <w:rsid w:val="76A80D8A"/>
    <w:rsid w:val="76C41CC1"/>
    <w:rsid w:val="76E838ED"/>
    <w:rsid w:val="76FF17C0"/>
    <w:rsid w:val="77762421"/>
    <w:rsid w:val="7777667B"/>
    <w:rsid w:val="77AA1A67"/>
    <w:rsid w:val="780F09F4"/>
    <w:rsid w:val="78384419"/>
    <w:rsid w:val="789C4F47"/>
    <w:rsid w:val="78A90480"/>
    <w:rsid w:val="7901742A"/>
    <w:rsid w:val="79100B6D"/>
    <w:rsid w:val="79121233"/>
    <w:rsid w:val="79371F9D"/>
    <w:rsid w:val="79811327"/>
    <w:rsid w:val="798C24D2"/>
    <w:rsid w:val="79C72772"/>
    <w:rsid w:val="79E200D2"/>
    <w:rsid w:val="7A0E4BE8"/>
    <w:rsid w:val="7A364017"/>
    <w:rsid w:val="7A5D2C87"/>
    <w:rsid w:val="7A8265E1"/>
    <w:rsid w:val="7AC427F9"/>
    <w:rsid w:val="7AC87572"/>
    <w:rsid w:val="7AE3522E"/>
    <w:rsid w:val="7B4712B3"/>
    <w:rsid w:val="7B53716F"/>
    <w:rsid w:val="7B626CEB"/>
    <w:rsid w:val="7B686D42"/>
    <w:rsid w:val="7B81423A"/>
    <w:rsid w:val="7B841746"/>
    <w:rsid w:val="7BB652E7"/>
    <w:rsid w:val="7BED3EBD"/>
    <w:rsid w:val="7BFD0C8F"/>
    <w:rsid w:val="7C032F02"/>
    <w:rsid w:val="7C0F4575"/>
    <w:rsid w:val="7C1A48F9"/>
    <w:rsid w:val="7C365D59"/>
    <w:rsid w:val="7C6B3D71"/>
    <w:rsid w:val="7C77573C"/>
    <w:rsid w:val="7C8B6765"/>
    <w:rsid w:val="7C972867"/>
    <w:rsid w:val="7CAA3003"/>
    <w:rsid w:val="7D0239FF"/>
    <w:rsid w:val="7D1F07D1"/>
    <w:rsid w:val="7D3D0369"/>
    <w:rsid w:val="7D507E0A"/>
    <w:rsid w:val="7D531076"/>
    <w:rsid w:val="7D5E40CD"/>
    <w:rsid w:val="7D693BED"/>
    <w:rsid w:val="7DC068F5"/>
    <w:rsid w:val="7DD543A1"/>
    <w:rsid w:val="7DD64E7A"/>
    <w:rsid w:val="7E1F626E"/>
    <w:rsid w:val="7E2A243E"/>
    <w:rsid w:val="7E2E439C"/>
    <w:rsid w:val="7EEA50A3"/>
    <w:rsid w:val="7F37776D"/>
    <w:rsid w:val="7F476735"/>
    <w:rsid w:val="7F4A0FF1"/>
    <w:rsid w:val="7F6A5FE7"/>
    <w:rsid w:val="7F6E78ED"/>
    <w:rsid w:val="7FC4245B"/>
    <w:rsid w:val="7FE47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ocked="1"/>
    <w:lsdException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7">
    <w:name w:val="heading 2"/>
    <w:basedOn w:val="1"/>
    <w:next w:val="1"/>
    <w:qFormat/>
    <w:locked/>
    <w:uiPriority w:val="0"/>
    <w:pPr>
      <w:keepNext/>
      <w:keepLines/>
      <w:spacing w:line="800" w:lineRule="exact"/>
      <w:jc w:val="left"/>
      <w:outlineLvl w:val="1"/>
    </w:pPr>
    <w:rPr>
      <w:rFonts w:eastAsia="黑体"/>
      <w:sz w:val="28"/>
    </w:rPr>
  </w:style>
  <w:style w:type="paragraph" w:styleId="8">
    <w:name w:val="heading 3"/>
    <w:basedOn w:val="1"/>
    <w:next w:val="1"/>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9">
    <w:name w:val="heading 4"/>
    <w:basedOn w:val="1"/>
    <w:next w:val="1"/>
    <w:qFormat/>
    <w:locked/>
    <w:uiPriority w:val="0"/>
    <w:pPr>
      <w:tabs>
        <w:tab w:val="left" w:pos="567"/>
      </w:tabs>
      <w:snapToGrid w:val="0"/>
      <w:spacing w:line="400" w:lineRule="atLeast"/>
      <w:outlineLvl w:val="3"/>
    </w:pPr>
    <w:rPr>
      <w:rFonts w:ascii="宋体" w:hAnsi="宋体"/>
      <w:szCs w:val="21"/>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line="440" w:lineRule="exact"/>
      <w:ind w:firstLine="420"/>
    </w:pPr>
    <w:rPr>
      <w:rFonts w:ascii="宋体"/>
      <w:sz w:val="24"/>
    </w:rPr>
  </w:style>
  <w:style w:type="paragraph" w:styleId="3">
    <w:name w:val="Body Text Indent"/>
    <w:basedOn w:val="1"/>
    <w:next w:val="4"/>
    <w:link w:val="37"/>
    <w:semiHidden/>
    <w:qFormat/>
    <w:uiPriority w:val="0"/>
    <w:pPr>
      <w:spacing w:after="120"/>
      <w:ind w:left="420" w:leftChars="200"/>
    </w:pPr>
  </w:style>
  <w:style w:type="paragraph" w:styleId="4">
    <w:name w:val="header"/>
    <w:basedOn w:val="1"/>
    <w:next w:val="5"/>
    <w:link w:val="26"/>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样式5"/>
    <w:basedOn w:val="1"/>
    <w:qFormat/>
    <w:uiPriority w:val="0"/>
    <w:pPr>
      <w:snapToGrid w:val="0"/>
      <w:ind w:firstLine="510" w:firstLineChars="0"/>
    </w:pPr>
    <w:rPr>
      <w:rFonts w:hint="eastAsia" w:cs="Times New Roman"/>
      <w:szCs w:val="20"/>
    </w:rPr>
  </w:style>
  <w:style w:type="paragraph" w:styleId="10">
    <w:name w:val="annotation text"/>
    <w:basedOn w:val="1"/>
    <w:link w:val="35"/>
    <w:semiHidden/>
    <w:qFormat/>
    <w:uiPriority w:val="0"/>
    <w:pPr>
      <w:jc w:val="left"/>
    </w:pPr>
    <w:rPr>
      <w:kern w:val="0"/>
      <w:sz w:val="20"/>
    </w:rPr>
  </w:style>
  <w:style w:type="paragraph" w:styleId="11">
    <w:name w:val="Body Text"/>
    <w:basedOn w:val="1"/>
    <w:link w:val="28"/>
    <w:qFormat/>
    <w:uiPriority w:val="0"/>
    <w:pPr>
      <w:widowControl/>
      <w:snapToGrid w:val="0"/>
      <w:spacing w:before="60" w:after="160" w:line="259" w:lineRule="auto"/>
      <w:ind w:right="113"/>
    </w:pPr>
    <w:rPr>
      <w:kern w:val="0"/>
      <w:sz w:val="18"/>
      <w:szCs w:val="18"/>
    </w:rPr>
  </w:style>
  <w:style w:type="paragraph" w:styleId="12">
    <w:name w:val="Date"/>
    <w:basedOn w:val="1"/>
    <w:next w:val="1"/>
    <w:link w:val="30"/>
    <w:qFormat/>
    <w:uiPriority w:val="0"/>
    <w:pPr>
      <w:ind w:left="100" w:leftChars="2500"/>
    </w:pPr>
    <w:rPr>
      <w:kern w:val="0"/>
      <w:sz w:val="20"/>
    </w:rPr>
  </w:style>
  <w:style w:type="paragraph" w:styleId="13">
    <w:name w:val="Balloon Text"/>
    <w:basedOn w:val="1"/>
    <w:link w:val="34"/>
    <w:semiHidden/>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Normal (Web)"/>
    <w:basedOn w:val="1"/>
    <w:link w:val="29"/>
    <w:qFormat/>
    <w:uiPriority w:val="0"/>
    <w:pPr>
      <w:widowControl/>
      <w:spacing w:before="100" w:beforeAutospacing="1" w:after="100" w:afterAutospacing="1"/>
      <w:jc w:val="left"/>
    </w:pPr>
    <w:rPr>
      <w:rFonts w:ascii="宋体" w:hAnsi="宋体"/>
      <w:kern w:val="0"/>
      <w:sz w:val="24"/>
    </w:rPr>
  </w:style>
  <w:style w:type="paragraph" w:styleId="16">
    <w:name w:val="annotation subject"/>
    <w:basedOn w:val="10"/>
    <w:next w:val="10"/>
    <w:link w:val="38"/>
    <w:semiHidden/>
    <w:qFormat/>
    <w:uiPriority w:val="0"/>
    <w:rPr>
      <w:b/>
      <w:bCs/>
    </w:rPr>
  </w:style>
  <w:style w:type="paragraph" w:styleId="17">
    <w:name w:val="Body Text First Indent"/>
    <w:basedOn w:val="11"/>
    <w:qFormat/>
    <w:uiPriority w:val="0"/>
    <w:pPr>
      <w:ind w:firstLine="498" w:firstLineChars="200"/>
    </w:pPr>
    <w:rPr>
      <w:sz w:val="24"/>
      <w:szCs w:val="20"/>
    </w:rPr>
  </w:style>
  <w:style w:type="table" w:styleId="19">
    <w:name w:val="Table Grid"/>
    <w:basedOn w:val="18"/>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styleId="23">
    <w:name w:val="annotation reference"/>
    <w:basedOn w:val="20"/>
    <w:semiHidden/>
    <w:qFormat/>
    <w:uiPriority w:val="0"/>
    <w:rPr>
      <w:sz w:val="21"/>
    </w:rPr>
  </w:style>
  <w:style w:type="paragraph" w:customStyle="1" w:styleId="24">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25">
    <w:name w:val="表格"/>
    <w:basedOn w:val="1"/>
    <w:next w:val="1"/>
    <w:link w:val="33"/>
    <w:qFormat/>
    <w:uiPriority w:val="0"/>
    <w:pPr>
      <w:adjustRightInd w:val="0"/>
      <w:snapToGrid w:val="0"/>
      <w:spacing w:beforeLines="10" w:afterLines="10" w:line="259" w:lineRule="auto"/>
      <w:jc w:val="center"/>
    </w:pPr>
    <w:rPr>
      <w:rFonts w:ascii="宋体"/>
      <w:kern w:val="0"/>
      <w:sz w:val="20"/>
      <w:szCs w:val="21"/>
    </w:rPr>
  </w:style>
  <w:style w:type="character" w:customStyle="1" w:styleId="26">
    <w:name w:val="Header Char"/>
    <w:basedOn w:val="20"/>
    <w:link w:val="4"/>
    <w:qFormat/>
    <w:locked/>
    <w:uiPriority w:val="0"/>
    <w:rPr>
      <w:rFonts w:cs="Times New Roman"/>
      <w:sz w:val="18"/>
      <w:szCs w:val="18"/>
    </w:rPr>
  </w:style>
  <w:style w:type="character" w:customStyle="1" w:styleId="27">
    <w:name w:val="Footer Char"/>
    <w:basedOn w:val="20"/>
    <w:link w:val="14"/>
    <w:qFormat/>
    <w:locked/>
    <w:uiPriority w:val="0"/>
    <w:rPr>
      <w:rFonts w:cs="Times New Roman"/>
      <w:sz w:val="18"/>
      <w:szCs w:val="18"/>
    </w:rPr>
  </w:style>
  <w:style w:type="character" w:customStyle="1" w:styleId="28">
    <w:name w:val="Body Text Char"/>
    <w:link w:val="11"/>
    <w:qFormat/>
    <w:locked/>
    <w:uiPriority w:val="0"/>
    <w:rPr>
      <w:sz w:val="18"/>
    </w:rPr>
  </w:style>
  <w:style w:type="character" w:customStyle="1" w:styleId="29">
    <w:name w:val="Normal (Web) Char"/>
    <w:link w:val="15"/>
    <w:qFormat/>
    <w:locked/>
    <w:uiPriority w:val="0"/>
    <w:rPr>
      <w:rFonts w:ascii="宋体" w:hAnsi="宋体" w:eastAsia="宋体"/>
      <w:sz w:val="24"/>
    </w:rPr>
  </w:style>
  <w:style w:type="character" w:customStyle="1" w:styleId="30">
    <w:name w:val="Date Char"/>
    <w:link w:val="12"/>
    <w:qFormat/>
    <w:locked/>
    <w:uiPriority w:val="0"/>
    <w:rPr>
      <w:rFonts w:ascii="Times New Roman" w:hAnsi="Times New Roman" w:eastAsia="宋体"/>
      <w:sz w:val="24"/>
    </w:rPr>
  </w:style>
  <w:style w:type="character" w:customStyle="1" w:styleId="31">
    <w:name w:val="日期 字符"/>
    <w:basedOn w:val="20"/>
    <w:semiHidden/>
    <w:qFormat/>
    <w:uiPriority w:val="0"/>
    <w:rPr>
      <w:rFonts w:ascii="Times New Roman" w:hAnsi="Times New Roman" w:eastAsia="宋体" w:cs="Times New Roman"/>
      <w:sz w:val="24"/>
      <w:szCs w:val="24"/>
    </w:rPr>
  </w:style>
  <w:style w:type="character" w:customStyle="1" w:styleId="32">
    <w:name w:val="正文文本 字符1"/>
    <w:basedOn w:val="20"/>
    <w:semiHidden/>
    <w:qFormat/>
    <w:uiPriority w:val="0"/>
    <w:rPr>
      <w:rFonts w:ascii="Times New Roman" w:hAnsi="Times New Roman" w:eastAsia="宋体" w:cs="Times New Roman"/>
      <w:sz w:val="24"/>
      <w:szCs w:val="24"/>
    </w:rPr>
  </w:style>
  <w:style w:type="character" w:customStyle="1" w:styleId="33">
    <w:name w:val="表格 Char"/>
    <w:link w:val="25"/>
    <w:qFormat/>
    <w:locked/>
    <w:uiPriority w:val="0"/>
    <w:rPr>
      <w:rFonts w:ascii="宋体"/>
      <w:sz w:val="21"/>
    </w:rPr>
  </w:style>
  <w:style w:type="character" w:customStyle="1" w:styleId="34">
    <w:name w:val="Balloon Text Char"/>
    <w:basedOn w:val="20"/>
    <w:link w:val="13"/>
    <w:semiHidden/>
    <w:qFormat/>
    <w:locked/>
    <w:uiPriority w:val="0"/>
    <w:rPr>
      <w:rFonts w:ascii="Times New Roman" w:hAnsi="Times New Roman" w:eastAsia="宋体" w:cs="Times New Roman"/>
      <w:sz w:val="18"/>
      <w:szCs w:val="18"/>
    </w:rPr>
  </w:style>
  <w:style w:type="character" w:customStyle="1" w:styleId="35">
    <w:name w:val="Comment Text Char"/>
    <w:link w:val="10"/>
    <w:qFormat/>
    <w:locked/>
    <w:uiPriority w:val="0"/>
    <w:rPr>
      <w:rFonts w:ascii="Times New Roman" w:hAnsi="Times New Roman" w:eastAsia="宋体"/>
      <w:sz w:val="24"/>
    </w:rPr>
  </w:style>
  <w:style w:type="character" w:customStyle="1" w:styleId="36">
    <w:name w:val="批注文字 字符1"/>
    <w:basedOn w:val="20"/>
    <w:semiHidden/>
    <w:qFormat/>
    <w:uiPriority w:val="0"/>
    <w:rPr>
      <w:rFonts w:ascii="Times New Roman" w:hAnsi="Times New Roman" w:eastAsia="宋体" w:cs="Times New Roman"/>
      <w:sz w:val="24"/>
      <w:szCs w:val="24"/>
    </w:rPr>
  </w:style>
  <w:style w:type="character" w:customStyle="1" w:styleId="37">
    <w:name w:val="Body Text Indent Char"/>
    <w:basedOn w:val="20"/>
    <w:link w:val="3"/>
    <w:semiHidden/>
    <w:qFormat/>
    <w:locked/>
    <w:uiPriority w:val="0"/>
    <w:rPr>
      <w:rFonts w:ascii="Times New Roman" w:hAnsi="Times New Roman" w:eastAsia="宋体" w:cs="Times New Roman"/>
      <w:sz w:val="24"/>
      <w:szCs w:val="24"/>
    </w:rPr>
  </w:style>
  <w:style w:type="character" w:customStyle="1" w:styleId="38">
    <w:name w:val="Comment Subject Char"/>
    <w:basedOn w:val="35"/>
    <w:link w:val="16"/>
    <w:semiHidden/>
    <w:qFormat/>
    <w:locked/>
    <w:uiPriority w:val="0"/>
    <w:rPr>
      <w:rFonts w:cs="Times New Roman"/>
      <w:b/>
      <w:bCs/>
      <w:kern w:val="2"/>
      <w:szCs w:val="24"/>
    </w:rPr>
  </w:style>
  <w:style w:type="character" w:customStyle="1" w:styleId="39">
    <w:name w:val="普通(网站) Char"/>
    <w:qFormat/>
    <w:locked/>
    <w:uiPriority w:val="0"/>
    <w:rPr>
      <w:rFonts w:ascii="宋体" w:hAnsi="宋体" w:eastAsia="宋体"/>
      <w:sz w:val="24"/>
    </w:rPr>
  </w:style>
  <w:style w:type="paragraph" w:customStyle="1" w:styleId="40">
    <w:name w:val="Default"/>
    <w:unhideWhenUsed/>
    <w:qFormat/>
    <w:uiPriority w:val="0"/>
    <w:pPr>
      <w:widowControl w:val="0"/>
      <w:autoSpaceDE w:val="0"/>
      <w:autoSpaceDN w:val="0"/>
    </w:pPr>
    <w:rPr>
      <w:rFonts w:hint="eastAsia" w:ascii="仿宋_GB2312" w:hAnsi="Calibri" w:eastAsia="宋体" w:cs="Times New Roman"/>
      <w:color w:val="000000"/>
      <w:sz w:val="24"/>
      <w:szCs w:val="22"/>
      <w:lang w:val="en-US" w:eastAsia="zh-CN" w:bidi="ar-SA"/>
    </w:rPr>
  </w:style>
  <w:style w:type="paragraph" w:customStyle="1" w:styleId="41">
    <w:name w:val="Table Paragraph"/>
    <w:basedOn w:val="1"/>
    <w:qFormat/>
    <w:uiPriority w:val="1"/>
    <w:pPr>
      <w:jc w:val="right"/>
    </w:pPr>
    <w:rPr>
      <w:rFonts w:ascii="宋体" w:hAnsi="宋体" w:eastAsia="宋体" w:cs="宋体"/>
      <w:lang w:val="zh-CN" w:eastAsia="zh-CN" w:bidi="zh-CN"/>
    </w:rPr>
  </w:style>
  <w:style w:type="paragraph" w:customStyle="1" w:styleId="42">
    <w:name w:val="xl4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43">
    <w:name w:val="p0"/>
    <w:basedOn w:val="1"/>
    <w:qFormat/>
    <w:uiPriority w:val="0"/>
    <w:pPr>
      <w:widowControl/>
    </w:pPr>
    <w:rPr>
      <w:kern w:val="0"/>
      <w:sz w:val="24"/>
    </w:rPr>
  </w:style>
  <w:style w:type="paragraph" w:customStyle="1" w:styleId="44">
    <w:name w:val="样式 标题AB + 首行缩进:  2 字符"/>
    <w:basedOn w:val="1"/>
    <w:qFormat/>
    <w:uiPriority w:val="0"/>
    <w:pPr>
      <w:spacing w:line="360" w:lineRule="auto"/>
      <w:ind w:firstLine="480" w:firstLineChars="200"/>
      <w:jc w:val="center"/>
    </w:pPr>
    <w:rPr>
      <w:rFonts w:eastAsia="黑体"/>
      <w:bCs/>
      <w:color w:val="0000FF"/>
      <w:sz w:val="24"/>
    </w:rPr>
  </w:style>
  <w:style w:type="paragraph" w:styleId="45">
    <w:name w:val="List Paragraph"/>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195</Words>
  <Characters>1117</Characters>
  <Lines>9</Lines>
  <Paragraphs>2</Paragraphs>
  <TotalTime>5</TotalTime>
  <ScaleCrop>false</ScaleCrop>
  <LinksUpToDate>false</LinksUpToDate>
  <CharactersWithSpaces>1310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lhj</dc:creator>
  <cp:lastModifiedBy>晓琼</cp:lastModifiedBy>
  <cp:lastPrinted>2020-12-24T01:50:00Z</cp:lastPrinted>
  <dcterms:modified xsi:type="dcterms:W3CDTF">2021-06-22T02:41:24Z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