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framePr w:vAnchor="page" w:hAnchor="page" w:x="1435" w:y="685"/>
        <w:rPr>
          <w:rFonts w:ascii="Times New Roman"/>
        </w:rPr>
      </w:pPr>
      <w:r>
        <w:rPr>
          <w:rFonts w:ascii="Times New Roman"/>
        </w:rPr>
        <w:t>ICS</w:t>
      </w:r>
      <w:r>
        <w:rPr>
          <w:rFonts w:ascii="Times New Roman" w:eastAsia="MS Mincho"/>
        </w:rPr>
        <w:t> </w:t>
      </w:r>
      <w:r>
        <w:rPr>
          <w:rFonts w:ascii="Times New Roman" w:eastAsia="Segoe UI"/>
          <w:color w:val="3E474C"/>
          <w:shd w:val="clear" w:color="auto" w:fill="FAFBFD"/>
        </w:rPr>
        <w:t>13.080.99</w:t>
      </w:r>
    </w:p>
    <w:p>
      <w:pPr>
        <w:pStyle w:val="51"/>
        <w:framePr w:vAnchor="page" w:hAnchor="page" w:x="1435" w:y="685"/>
        <w:rPr>
          <w:rFonts w:hint="default" w:ascii="Times New Roman" w:eastAsia="黑体"/>
          <w:lang w:val="en-US" w:eastAsia="zh-CN"/>
        </w:rPr>
      </w:pPr>
      <w:r>
        <w:rPr>
          <w:rFonts w:hint="eastAsia" w:ascii="Times New Roman"/>
          <w:lang w:val="en-US" w:eastAsia="zh-CN"/>
        </w:rPr>
        <w:t>CCS Z 10</w:t>
      </w:r>
    </w:p>
    <w:tbl>
      <w:tblPr>
        <w:tblStyle w:val="14"/>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71" w:type="dxa"/>
            <w:tcBorders>
              <w:top w:val="nil"/>
              <w:left w:val="nil"/>
              <w:bottom w:val="nil"/>
              <w:right w:val="nil"/>
            </w:tcBorders>
          </w:tcPr>
          <w:p>
            <w:pPr>
              <w:pStyle w:val="51"/>
              <w:framePr w:vAnchor="page" w:hAnchor="page" w:x="1435" w:y="685"/>
              <w:jc w:val="both"/>
              <w:rPr>
                <w:rFonts w:hint="eastAsia" w:eastAsia="黑体"/>
                <w:lang w:eastAsia="zh-CN"/>
              </w:rPr>
            </w:pPr>
            <w:r>
              <w:rPr>
                <w:rFonts w:hint="default"/>
                <w:lang w:val="en-US"/>
              </w:rP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6" name="矩形 6"/>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true"/>
                          </wps:wsp>
                        </a:graphicData>
                      </a:graphic>
                    </wp:anchor>
                  </w:drawing>
                </mc:Choice>
                <mc:Fallback>
                  <w:pict>
                    <v:rect id="_x0000_s1026" o:spid="_x0000_s1026" o:spt="1" style="position:absolute;left:0pt;margin-left:-5.25pt;margin-top:0pt;height:15.6pt;width:68.25pt;z-index:-251651072;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yK4v7NUAAAAH&#10;AQAADwAAAAAAAAABACAAAAA4AAAAZHJzL2Rvd25yZXYueG1sUEsBAhQAFAAAAAgAh07iQED2noiX&#10;AQAAEwMAAA4AAAAAAAAAAQAgAAAAOgEAAGRycy9lMm9Eb2MueG1sUEsFBgAAAAAGAAYAWQEAAEMF&#10;AAAAAA==&#10;">
                      <v:fill on="t" focussize="0,0"/>
                      <v:stroke on="f"/>
                      <v:imagedata o:title=""/>
                      <o:lock v:ext="edit" aspectratio="f"/>
                    </v:rect>
                  </w:pict>
                </mc:Fallback>
              </mc:AlternateContent>
            </w:r>
            <w:r>
              <w:rPr>
                <w:rFonts w:hint="eastAsia"/>
                <w:lang w:val="en-US" w:eastAsia="zh-CN"/>
              </w:rPr>
              <w:t xml:space="preserve"> </w:t>
            </w:r>
          </w:p>
        </w:tc>
      </w:tr>
    </w:tbl>
    <w:p>
      <w:pPr>
        <w:pStyle w:val="52"/>
        <w:framePr w:x="4689" w:y="775"/>
      </w:pPr>
      <w:r>
        <w:t>DB</w:t>
      </w:r>
      <w:r>
        <w:rPr>
          <w:rFonts w:hint="eastAsia"/>
          <w:lang w:val="en-US" w:eastAsia="zh-CN"/>
        </w:rPr>
        <w:t>61</w:t>
      </w:r>
    </w:p>
    <w:p>
      <w:pPr>
        <w:pStyle w:val="55"/>
        <w:framePr/>
        <w:rPr>
          <w:rFonts w:hint="eastAsia" w:hAnsi="黑体"/>
        </w:rPr>
      </w:pPr>
      <w:r>
        <w:rPr>
          <w:rFonts w:ascii="Times New Roman"/>
        </w:rPr>
        <w:t xml:space="preserve">DB </w:t>
      </w:r>
      <w:r>
        <w:rPr>
          <w:rFonts w:hint="eastAsia" w:hAnsi="黑体"/>
        </w:rPr>
        <w:t>61</w:t>
      </w:r>
      <w:r>
        <w:rPr>
          <w:rFonts w:hAnsi="黑体"/>
        </w:rPr>
        <w:t>/</w:t>
      </w:r>
      <w:r>
        <w:rPr>
          <w:rFonts w:hint="eastAsia" w:hAnsi="黑体"/>
        </w:rPr>
        <w:t>T</w:t>
      </w:r>
      <w:r>
        <w:rPr>
          <w:rFonts w:hAnsi="黑体"/>
        </w:rPr>
        <w:t xml:space="preserve"> </w:t>
      </w:r>
      <w:r>
        <w:rPr>
          <w:rFonts w:hint="eastAsia" w:hAnsi="黑体"/>
          <w:lang w:val="en-US" w:eastAsia="zh-CN"/>
        </w:rPr>
        <w:t>XXXXX</w:t>
      </w:r>
      <w:r>
        <w:rPr>
          <w:rFonts w:hAnsi="黑体"/>
        </w:rPr>
        <w:t>—</w:t>
      </w:r>
      <w:r>
        <w:rPr>
          <w:rFonts w:hint="eastAsia" w:hAnsi="黑体"/>
        </w:rPr>
        <w:t>2025</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56"/>
              <w:framePr/>
              <w:widowControl w:val="0"/>
              <w:wordWrap w:val="0"/>
              <w:rPr>
                <w:rFonts w:hint="eastAsia" w:eastAsia="宋体"/>
                <w:lang w:eastAsia="zh-CN"/>
              </w:rPr>
            </w:pPr>
            <w:r>
              <w:rPr>
                <w:rFonts w:hint="eastAsia"/>
                <w:lang w:val="en-US" w:eastAsia="zh-CN"/>
              </w:rPr>
              <w:t xml:space="preserve"> </w:t>
            </w:r>
          </w:p>
        </w:tc>
      </w:tr>
    </w:tbl>
    <w:p>
      <w:pPr>
        <w:pStyle w:val="55"/>
        <w:framePr/>
        <w:rPr>
          <w:rFonts w:hint="eastAsia" w:hAnsi="黑体"/>
        </w:rPr>
      </w:pPr>
    </w:p>
    <w:p>
      <w:pPr>
        <w:pStyle w:val="55"/>
        <w:framePr/>
        <w:rPr>
          <w:rFonts w:hint="eastAsia" w:hAnsi="黑体"/>
        </w:rPr>
      </w:pPr>
    </w:p>
    <w:p>
      <w:pPr>
        <w:pStyle w:val="54"/>
        <w:framePr/>
        <w:rPr>
          <w:rFonts w:hint="eastAsia"/>
        </w:rPr>
      </w:pPr>
      <w:r>
        <w:rPr>
          <w:rFonts w:hint="eastAsia" w:ascii="Times New Roman" w:hAnsi="Times New Roman"/>
          <w:szCs w:val="21"/>
          <w:lang w:eastAsia="zh-CN"/>
        </w:rPr>
        <w:t>陕西省</w:t>
      </w:r>
      <w:r>
        <w:rPr>
          <w:rFonts w:hint="eastAsia"/>
        </w:rPr>
        <w:t>地方标准</w:t>
      </w:r>
    </w:p>
    <w:p>
      <w:pPr>
        <w:spacing w:before="357" w:line="280" w:lineRule="exact"/>
        <w:jc w:val="right"/>
        <w:rPr>
          <w:rFonts w:ascii="Times New Roman" w:hAnsi="Times New Roman" w:eastAsia="黑体"/>
          <w:sz w:val="28"/>
          <w:szCs w:val="28"/>
        </w:rPr>
      </w:pPr>
    </w:p>
    <w:p>
      <w:pPr>
        <w:spacing w:before="357" w:line="280" w:lineRule="exact"/>
        <w:jc w:val="right"/>
        <w:rPr>
          <w:rFonts w:ascii="Times New Roman" w:hAnsi="Times New Roman" w:eastAsia="黑体"/>
          <w:sz w:val="28"/>
          <w:szCs w:val="28"/>
        </w:rPr>
      </w:pPr>
    </w:p>
    <w:p>
      <w:pPr>
        <w:spacing w:line="680" w:lineRule="exact"/>
        <w:jc w:val="center"/>
        <w:textAlignment w:val="center"/>
        <w:rPr>
          <w:rFonts w:ascii="Times New Roman" w:hAnsi="Times New Roman" w:eastAsia="黑体"/>
          <w:sz w:val="52"/>
        </w:rPr>
      </w:pPr>
      <w:r>
        <w:rPr>
          <w:rFonts w:hint="eastAsia" w:ascii="Times New Roman" w:hAnsi="Times New Roman" w:eastAsia="黑体"/>
          <w:sz w:val="52"/>
        </w:rPr>
        <w:t>地表水自动监测站运维管理</w:t>
      </w:r>
    </w:p>
    <w:p>
      <w:pPr>
        <w:spacing w:line="680" w:lineRule="exact"/>
        <w:jc w:val="center"/>
        <w:textAlignment w:val="center"/>
        <w:rPr>
          <w:rFonts w:ascii="Times New Roman" w:hAnsi="Times New Roman" w:eastAsia="黑体"/>
          <w:sz w:val="52"/>
        </w:rPr>
      </w:pPr>
      <w:r>
        <w:rPr>
          <w:rFonts w:hint="eastAsia" w:ascii="Times New Roman" w:hAnsi="Times New Roman" w:eastAsia="黑体"/>
          <w:sz w:val="52"/>
        </w:rPr>
        <w:t>技术规范</w:t>
      </w:r>
    </w:p>
    <w:p>
      <w:pPr>
        <w:spacing w:before="370" w:line="400" w:lineRule="exact"/>
        <w:jc w:val="center"/>
        <w:textAlignment w:val="center"/>
        <w:rPr>
          <w:rFonts w:ascii="Times New Roman" w:hAnsi="Times New Roman" w:eastAsia="黑体"/>
          <w:sz w:val="28"/>
          <w:szCs w:val="28"/>
        </w:rPr>
      </w:pPr>
      <w:r>
        <w:rPr>
          <w:rFonts w:ascii="Times New Roman" w:hAnsi="Times New Roman" w:eastAsia="黑体"/>
          <w:sz w:val="28"/>
          <w:szCs w:val="28"/>
        </w:rPr>
        <w:t xml:space="preserve"> Technical </w:t>
      </w:r>
      <w:r>
        <w:rPr>
          <w:rFonts w:hint="eastAsia" w:ascii="Times New Roman" w:hAnsi="Times New Roman" w:eastAsia="黑体"/>
          <w:sz w:val="28"/>
          <w:szCs w:val="28"/>
        </w:rPr>
        <w:t>s</w:t>
      </w:r>
      <w:r>
        <w:rPr>
          <w:rFonts w:ascii="Times New Roman" w:hAnsi="Times New Roman" w:eastAsia="黑体"/>
          <w:sz w:val="28"/>
          <w:szCs w:val="28"/>
        </w:rPr>
        <w:t xml:space="preserve">pecification for operation and maintenance management of surface water automatic monitoring </w:t>
      </w:r>
      <w:r>
        <w:rPr>
          <w:rFonts w:hint="eastAsia" w:ascii="Times New Roman" w:hAnsi="Times New Roman" w:eastAsia="黑体"/>
          <w:sz w:val="28"/>
          <w:szCs w:val="28"/>
        </w:rPr>
        <w:t>s</w:t>
      </w:r>
      <w:r>
        <w:rPr>
          <w:rFonts w:ascii="Times New Roman" w:hAnsi="Times New Roman" w:eastAsia="黑体"/>
          <w:sz w:val="28"/>
          <w:szCs w:val="28"/>
        </w:rPr>
        <w:t>tation</w:t>
      </w:r>
    </w:p>
    <w:tbl>
      <w:tblPr>
        <w:tblStyle w:val="13"/>
        <w:tblpPr w:leftFromText="180" w:rightFromText="180" w:vertAnchor="text" w:horzAnchor="page" w:tblpX="101" w:tblpY="393"/>
        <w:tblOverlap w:val="never"/>
        <w:tblW w:w="197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spacing w:before="440" w:after="160"/>
              <w:jc w:val="center"/>
              <w:textAlignment w:val="center"/>
              <w:rPr>
                <w:rFonts w:ascii="Times New Roman" w:hAnsi="Times New Roman"/>
                <w:sz w:val="24"/>
                <w:szCs w:val="28"/>
              </w:rPr>
            </w:pPr>
            <w:r>
              <w:rPr>
                <w:rFonts w:ascii="Times New Roman" w:hAnsi="Times New Roman"/>
                <w:sz w:val="24"/>
                <w:szCs w:val="28"/>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true"/>
                          </wps:wsp>
                        </a:graphicData>
                      </a:graphic>
                    </wp:anchor>
                  </w:drawing>
                </mc:Choice>
                <mc:Fallback>
                  <w:pict>
                    <v:rect id="RQ" o:spid="_x0000_s1026" o:spt="1" style="position:absolute;left:0pt;margin-left:173.3pt;margin-top:45.15pt;height:20pt;width:150pt;z-index:-251656192;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FgAAAGRycy9QSwECFAAUAAAACACHTuJABYmuktUAAAAKAQAADwAA&#10;AAAAAAABACAAAAA4AAAAZHJzL2Rvd25yZXYueG1sUEsBAhQAFAAAAAgAh07iQPxlWXuRAQAAHAMA&#10;AA4AAAAAAAAAAQAgAAAAOgEAAGRycy9lMm9Eb2MueG1sUEsFBgAAAAAGAAYAWQEAAD0FAAAAAA==&#10;">
                      <v:fill on="t" focussize="0,0"/>
                      <v:stroke on="f"/>
                      <v:imagedata o:title=""/>
                      <o:lock v:ext="edit" aspectratio="f"/>
                      <w10:anchorlock/>
                    </v:rect>
                  </w:pict>
                </mc:Fallback>
              </mc:AlternateContent>
            </w:r>
            <w:r>
              <w:rPr>
                <w:rFonts w:ascii="Times New Roman" w:hAnsi="Times New Roman"/>
                <w:sz w:val="24"/>
                <w:szCs w:val="28"/>
              </w:rPr>
              <w:t xml:space="preserve">             </w:t>
            </w:r>
            <w:r>
              <w:rPr>
                <w:rFonts w:hint="eastAsia" w:ascii="Times New Roman" w:hAnsi="Times New Roman"/>
                <w:sz w:val="24"/>
                <w:szCs w:val="28"/>
              </w:rPr>
              <w:t>（征求意见稿）</w:t>
            </w:r>
          </w:p>
        </w:tc>
        <w:tc>
          <w:tcPr>
            <w:tcW w:w="9855" w:type="dxa"/>
            <w:tcBorders>
              <w:top w:val="nil"/>
              <w:left w:val="nil"/>
              <w:bottom w:val="nil"/>
              <w:right w:val="nil"/>
            </w:tcBorders>
          </w:tcPr>
          <w:p>
            <w:pPr>
              <w:spacing w:before="440" w:after="160"/>
              <w:jc w:val="center"/>
              <w:textAlignment w:val="center"/>
              <w:rPr>
                <w:rFonts w:ascii="Times New Roman" w:hAnsi="Times New Roman"/>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spacing w:before="180" w:after="160" w:line="180" w:lineRule="exact"/>
              <w:jc w:val="center"/>
              <w:textAlignment w:val="center"/>
              <w:rPr>
                <w:rFonts w:ascii="Times New Roman" w:hAnsi="Times New Roman"/>
                <w:szCs w:val="28"/>
              </w:rPr>
            </w:pPr>
          </w:p>
        </w:tc>
        <w:tc>
          <w:tcPr>
            <w:tcW w:w="9855" w:type="dxa"/>
            <w:tcBorders>
              <w:top w:val="nil"/>
              <w:left w:val="nil"/>
              <w:bottom w:val="nil"/>
              <w:right w:val="nil"/>
            </w:tcBorders>
          </w:tcPr>
          <w:p>
            <w:pPr>
              <w:spacing w:before="180" w:after="160" w:line="180" w:lineRule="exact"/>
              <w:jc w:val="center"/>
              <w:textAlignment w:val="center"/>
              <w:rPr>
                <w:rFonts w:ascii="Times New Roman" w:hAnsi="Times New Roman"/>
                <w:szCs w:val="28"/>
              </w:rPr>
            </w:pPr>
          </w:p>
        </w:tc>
      </w:tr>
    </w:tbl>
    <w:p>
      <w:pPr>
        <w:spacing w:before="440" w:line="400" w:lineRule="exact"/>
        <w:jc w:val="center"/>
        <w:textAlignment w:val="center"/>
        <w:rPr>
          <w:rFonts w:ascii="Times New Roman" w:hAnsi="Times New Roman"/>
          <w:sz w:val="28"/>
          <w:szCs w:val="28"/>
        </w:rPr>
      </w:pPr>
    </w:p>
    <w:p>
      <w:pPr>
        <w:spacing w:line="480" w:lineRule="auto"/>
        <w:jc w:val="center"/>
        <w:rPr>
          <w:rFonts w:ascii="Times New Roman" w:hAnsi="Times New Roman"/>
          <w:b/>
          <w:bCs/>
          <w:sz w:val="44"/>
          <w:szCs w:val="44"/>
        </w:rPr>
      </w:pPr>
    </w:p>
    <w:p>
      <w:pPr>
        <w:spacing w:line="480" w:lineRule="auto"/>
        <w:jc w:val="center"/>
        <w:rPr>
          <w:rFonts w:ascii="Times New Roman" w:hAnsi="Times New Roman"/>
          <w:b/>
          <w:bCs/>
          <w:sz w:val="44"/>
          <w:szCs w:val="44"/>
        </w:rPr>
      </w:pPr>
    </w:p>
    <w:p>
      <w:pPr>
        <w:pStyle w:val="29"/>
        <w:framePr w:hAnchor="page" w:x="1642" w:y="13887"/>
      </w:pPr>
      <w:r>
        <w:rPr>
          <w:rFonts w:hint="eastAsia"/>
          <w:lang w:val="en-US" w:eastAsia="zh-CN"/>
        </w:rPr>
        <w:t>XXXX</w:t>
      </w:r>
      <w:r>
        <w:t xml:space="preserve"> - </w:t>
      </w:r>
      <w:r>
        <w:rPr>
          <w:rFonts w:hint="eastAsia"/>
          <w:lang w:val="en-US" w:eastAsia="zh-CN"/>
        </w:rPr>
        <w:t>XX</w:t>
      </w:r>
      <w:r>
        <w:t xml:space="preserve">- </w:t>
      </w:r>
      <w:r>
        <w:rPr>
          <w:rFonts w:hint="eastAsia"/>
          <w:lang w:val="en-US" w:eastAsia="zh-CN"/>
        </w:rPr>
        <w:t>XX</w:t>
      </w:r>
      <w: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4" name="直线 1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0.05pt;margin-top:728.5pt;height:0pt;width:481.9pt;mso-position-vertical-relative:page;z-index:251661312;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lh2s81gAAAAsBAAAPAAAAAAAA&#10;AAEAIAAAADgAAABkcnMvZG93bnJldi54bWxQSwECFAAUAAAACACHTuJA4hdWSsUBAACCAwAADgAA&#10;AAAAAAABACAAAAA7AQAAZHJzL2Uyb0RvYy54bWxQSwUGAAAAAAYABgBZAQAAcgUAAAAA&#10;">
                <v:fill on="f" focussize="0,0"/>
                <v:stroke color="#000000" joinstyle="round"/>
                <v:imagedata o:title=""/>
                <o:lock v:ext="edit" aspectratio="f"/>
                <w10:anchorlock/>
              </v:line>
            </w:pict>
          </mc:Fallback>
        </mc:AlternateContent>
      </w:r>
    </w:p>
    <w:p>
      <w:pPr>
        <w:spacing w:line="480" w:lineRule="auto"/>
        <w:jc w:val="center"/>
        <w:rPr>
          <w:rFonts w:ascii="Times New Roman" w:hAnsi="Times New Roman"/>
          <w:b/>
          <w:bCs/>
          <w:sz w:val="44"/>
          <w:szCs w:val="44"/>
        </w:rPr>
      </w:pPr>
    </w:p>
    <w:p>
      <w:pPr>
        <w:pStyle w:val="25"/>
        <w:framePr w:hAnchor="page" w:x="7071" w:y="13887"/>
      </w:pPr>
      <w:r>
        <w:rPr>
          <w:rFonts w:hint="eastAsia"/>
          <w:lang w:val="en-US" w:eastAsia="zh-CN"/>
        </w:rPr>
        <w:t xml:space="preserve">XXXX </w:t>
      </w:r>
      <w:r>
        <w:t xml:space="preserve">- </w:t>
      </w:r>
      <w:r>
        <w:rPr>
          <w:rFonts w:hint="eastAsia"/>
          <w:lang w:val="en-US" w:eastAsia="zh-CN"/>
        </w:rPr>
        <w:t>XX</w:t>
      </w:r>
      <w:r>
        <w:t xml:space="preserve"> - </w:t>
      </w:r>
      <w:r>
        <w:rPr>
          <w:rFonts w:hint="eastAsia"/>
          <w:lang w:val="en-US" w:eastAsia="zh-CN"/>
        </w:rPr>
        <w:t>XX</w:t>
      </w:r>
      <w:r>
        <w:t>实施</w:t>
      </w:r>
    </w:p>
    <w:p>
      <w:pPr>
        <w:pStyle w:val="27"/>
        <w:framePr/>
        <w:rPr>
          <w:rFonts w:ascii="Times New Roman"/>
        </w:rPr>
      </w:pPr>
      <w:r>
        <w:rPr>
          <w:rFonts w:ascii="Times New Roman"/>
        </w:rPr>
        <w:t>陕西省市场监督管理局</w:t>
      </w:r>
      <w:r>
        <w:rPr>
          <w:rFonts w:ascii="Times New Roman" w:eastAsia="宋体"/>
        </w:rPr>
        <w:t xml:space="preserve">   </w:t>
      </w:r>
      <w:r>
        <w:rPr>
          <w:rStyle w:val="20"/>
          <w:rFonts w:ascii="Times New Roman"/>
        </w:rPr>
        <w:t>发布</w:t>
      </w:r>
    </w:p>
    <w:p>
      <w:pPr>
        <w:spacing w:line="480" w:lineRule="auto"/>
        <w:jc w:val="center"/>
        <w:rPr>
          <w:rFonts w:hint="eastAsia" w:asciiTheme="majorEastAsia" w:hAnsiTheme="majorEastAsia" w:eastAsiaTheme="majorEastAsia"/>
          <w:b/>
          <w:bCs/>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7" w:header="851" w:footer="992" w:gutter="0"/>
          <w:cols w:space="720" w:num="1"/>
          <w:docGrid w:type="lines" w:linePitch="312" w:charSpace="0"/>
        </w:sectPr>
      </w:pPr>
      <w:bookmarkStart w:id="102" w:name="_GoBack"/>
      <w:bookmarkEnd w:id="102"/>
    </w:p>
    <w:p>
      <w:pPr>
        <w:spacing w:line="480" w:lineRule="auto"/>
        <w:jc w:val="center"/>
        <w:rPr>
          <w:rFonts w:ascii="Times New Roman" w:hAnsi="Times New Roman"/>
          <w:b/>
          <w:bCs/>
          <w:sz w:val="44"/>
          <w:szCs w:val="44"/>
        </w:rPr>
      </w:pPr>
    </w:p>
    <w:p>
      <w:pPr>
        <w:spacing w:line="480" w:lineRule="auto"/>
        <w:jc w:val="center"/>
        <w:rPr>
          <w:rFonts w:ascii="Times New Roman" w:hAnsi="Times New Roman" w:eastAsia="黑体"/>
          <w:sz w:val="32"/>
          <w:szCs w:val="32"/>
        </w:rPr>
      </w:pPr>
      <w:r>
        <w:rPr>
          <w:rFonts w:ascii="Times New Roman" w:hAnsi="Times New Roman" w:eastAsia="黑体"/>
          <w:sz w:val="32"/>
          <w:szCs w:val="32"/>
        </w:rPr>
        <w:t>目  次</w:t>
      </w:r>
    </w:p>
    <w:p>
      <w:pPr>
        <w:spacing w:line="480" w:lineRule="auto"/>
        <w:jc w:val="center"/>
        <w:rPr>
          <w:rFonts w:ascii="Times New Roman" w:hAnsi="Times New Roman"/>
          <w:sz w:val="32"/>
          <w:szCs w:val="32"/>
        </w:rPr>
      </w:pPr>
    </w:p>
    <w:p>
      <w:pPr>
        <w:pStyle w:val="10"/>
        <w:tabs>
          <w:tab w:val="right" w:leader="dot" w:pos="9241"/>
        </w:tabs>
        <w:spacing w:before="78" w:beforeLines="25" w:after="78" w:afterLines="25"/>
        <w:jc w:val="left"/>
        <w:rPr>
          <w:rFonts w:ascii="宋体" w:hAnsi="Times New Roman"/>
          <w:szCs w:val="21"/>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TOC \o "1-3" \h \u </w:instrText>
      </w:r>
      <w:r>
        <w:rPr>
          <w:rFonts w:hint="eastAsia" w:asciiTheme="minorEastAsia" w:hAnsiTheme="minorEastAsia" w:eastAsiaTheme="minorEastAsia" w:cstheme="minorEastAsia"/>
        </w:rPr>
        <w:fldChar w:fldCharType="separate"/>
      </w:r>
      <w:r>
        <w:fldChar w:fldCharType="begin"/>
      </w:r>
      <w:r>
        <w:instrText xml:space="preserve"> HYPERLINK \l "_Toc28702" </w:instrText>
      </w:r>
      <w:r>
        <w:fldChar w:fldCharType="separate"/>
      </w:r>
      <w:r>
        <w:rPr>
          <w:rFonts w:hint="eastAsia" w:ascii="宋体" w:hAnsi="Times New Roman"/>
          <w:szCs w:val="21"/>
        </w:rPr>
        <w:t>前  言</w:t>
      </w:r>
      <w:r>
        <w:rPr>
          <w:rFonts w:hint="eastAsia" w:ascii="宋体" w:hAnsi="Times New Roman"/>
          <w:szCs w:val="21"/>
        </w:rPr>
        <w:tab/>
      </w:r>
      <w:r>
        <w:rPr>
          <w:rFonts w:hint="eastAsia" w:ascii="宋体" w:hAnsi="Times New Roman"/>
          <w:szCs w:val="21"/>
        </w:rPr>
        <w:fldChar w:fldCharType="begin"/>
      </w:r>
      <w:r>
        <w:rPr>
          <w:rFonts w:hint="eastAsia" w:ascii="宋体" w:hAnsi="Times New Roman"/>
          <w:szCs w:val="21"/>
        </w:rPr>
        <w:instrText xml:space="preserve"> PAGEREF _Toc28702 </w:instrText>
      </w:r>
      <w:r>
        <w:rPr>
          <w:rFonts w:hint="eastAsia" w:ascii="宋体" w:hAnsi="Times New Roman"/>
          <w:szCs w:val="21"/>
        </w:rPr>
        <w:fldChar w:fldCharType="separate"/>
      </w:r>
      <w:r>
        <w:rPr>
          <w:rFonts w:hint="eastAsia" w:ascii="宋体" w:hAnsi="Times New Roman"/>
          <w:szCs w:val="21"/>
        </w:rPr>
        <w:t>II</w:t>
      </w:r>
      <w:r>
        <w:rPr>
          <w:rFonts w:hint="eastAsia" w:ascii="宋体" w:hAnsi="Times New Roman"/>
          <w:szCs w:val="21"/>
        </w:rPr>
        <w:fldChar w:fldCharType="end"/>
      </w:r>
      <w:r>
        <w:rPr>
          <w:rFonts w:hint="eastAsia" w:ascii="宋体" w:hAnsi="Times New Roman"/>
          <w:szCs w:val="21"/>
        </w:rPr>
        <w:fldChar w:fldCharType="end"/>
      </w:r>
    </w:p>
    <w:p>
      <w:pPr>
        <w:pStyle w:val="10"/>
        <w:tabs>
          <w:tab w:val="right" w:leader="dot" w:pos="9241"/>
        </w:tabs>
        <w:spacing w:before="78" w:beforeLines="25" w:after="78" w:afterLines="25"/>
        <w:jc w:val="left"/>
        <w:rPr>
          <w:rFonts w:ascii="宋体" w:hAnsi="Times New Roman"/>
          <w:szCs w:val="21"/>
        </w:rPr>
      </w:pPr>
      <w:r>
        <w:fldChar w:fldCharType="begin"/>
      </w:r>
      <w:r>
        <w:instrText xml:space="preserve"> HYPERLINK \l "_Toc24279" </w:instrText>
      </w:r>
      <w:r>
        <w:fldChar w:fldCharType="separate"/>
      </w:r>
      <w:r>
        <w:rPr>
          <w:rFonts w:hint="eastAsia" w:ascii="宋体" w:hAnsi="Times New Roman"/>
          <w:szCs w:val="21"/>
        </w:rPr>
        <w:t>1 范围</w:t>
      </w:r>
      <w:r>
        <w:rPr>
          <w:rFonts w:hint="eastAsia" w:ascii="宋体" w:hAnsi="Times New Roman"/>
          <w:szCs w:val="21"/>
        </w:rPr>
        <w:tab/>
      </w:r>
      <w:r>
        <w:rPr>
          <w:rFonts w:hint="eastAsia" w:ascii="宋体" w:hAnsi="Times New Roman"/>
          <w:szCs w:val="21"/>
        </w:rPr>
        <w:fldChar w:fldCharType="begin"/>
      </w:r>
      <w:r>
        <w:rPr>
          <w:rFonts w:hint="eastAsia" w:ascii="宋体" w:hAnsi="Times New Roman"/>
          <w:szCs w:val="21"/>
        </w:rPr>
        <w:instrText xml:space="preserve"> PAGEREF _Toc24279 </w:instrText>
      </w:r>
      <w:r>
        <w:rPr>
          <w:rFonts w:hint="eastAsia" w:ascii="宋体" w:hAnsi="Times New Roman"/>
          <w:szCs w:val="21"/>
        </w:rPr>
        <w:fldChar w:fldCharType="separate"/>
      </w:r>
      <w:r>
        <w:rPr>
          <w:rFonts w:hint="eastAsia" w:ascii="宋体" w:hAnsi="Times New Roman"/>
          <w:szCs w:val="21"/>
        </w:rPr>
        <w:t>1</w:t>
      </w:r>
      <w:r>
        <w:rPr>
          <w:rFonts w:hint="eastAsia" w:ascii="宋体" w:hAnsi="Times New Roman"/>
          <w:szCs w:val="21"/>
        </w:rPr>
        <w:fldChar w:fldCharType="end"/>
      </w:r>
      <w:r>
        <w:rPr>
          <w:rFonts w:hint="eastAsia" w:ascii="宋体" w:hAnsi="Times New Roman"/>
          <w:szCs w:val="21"/>
        </w:rPr>
        <w:fldChar w:fldCharType="end"/>
      </w:r>
    </w:p>
    <w:p>
      <w:pPr>
        <w:pStyle w:val="10"/>
        <w:tabs>
          <w:tab w:val="right" w:leader="dot" w:pos="9241"/>
        </w:tabs>
        <w:spacing w:before="78" w:beforeLines="25" w:after="78" w:afterLines="25"/>
        <w:jc w:val="left"/>
        <w:rPr>
          <w:rFonts w:ascii="宋体" w:hAnsi="Times New Roman"/>
          <w:szCs w:val="21"/>
        </w:rPr>
      </w:pPr>
      <w:r>
        <w:fldChar w:fldCharType="begin"/>
      </w:r>
      <w:r>
        <w:instrText xml:space="preserve"> HYPERLINK \l "_Toc2094" </w:instrText>
      </w:r>
      <w:r>
        <w:fldChar w:fldCharType="separate"/>
      </w:r>
      <w:r>
        <w:rPr>
          <w:rFonts w:hint="eastAsia" w:ascii="宋体" w:hAnsi="Times New Roman"/>
          <w:szCs w:val="21"/>
        </w:rPr>
        <w:t>2 规范性引用文件</w:t>
      </w:r>
      <w:r>
        <w:rPr>
          <w:rFonts w:hint="eastAsia" w:ascii="宋体" w:hAnsi="Times New Roman"/>
          <w:szCs w:val="21"/>
        </w:rPr>
        <w:tab/>
      </w:r>
      <w:r>
        <w:rPr>
          <w:rFonts w:hint="eastAsia" w:ascii="宋体" w:hAnsi="Times New Roman"/>
          <w:szCs w:val="21"/>
        </w:rPr>
        <w:fldChar w:fldCharType="begin"/>
      </w:r>
      <w:r>
        <w:rPr>
          <w:rFonts w:hint="eastAsia" w:ascii="宋体" w:hAnsi="Times New Roman"/>
          <w:szCs w:val="21"/>
        </w:rPr>
        <w:instrText xml:space="preserve"> PAGEREF _Toc2094 </w:instrText>
      </w:r>
      <w:r>
        <w:rPr>
          <w:rFonts w:hint="eastAsia" w:ascii="宋体" w:hAnsi="Times New Roman"/>
          <w:szCs w:val="21"/>
        </w:rPr>
        <w:fldChar w:fldCharType="separate"/>
      </w:r>
      <w:r>
        <w:rPr>
          <w:rFonts w:hint="eastAsia" w:ascii="宋体" w:hAnsi="Times New Roman"/>
          <w:szCs w:val="21"/>
        </w:rPr>
        <w:t>1</w:t>
      </w:r>
      <w:r>
        <w:rPr>
          <w:rFonts w:hint="eastAsia" w:ascii="宋体" w:hAnsi="Times New Roman"/>
          <w:szCs w:val="21"/>
        </w:rPr>
        <w:fldChar w:fldCharType="end"/>
      </w:r>
      <w:r>
        <w:rPr>
          <w:rFonts w:hint="eastAsia" w:ascii="宋体" w:hAnsi="Times New Roman"/>
          <w:szCs w:val="21"/>
        </w:rPr>
        <w:fldChar w:fldCharType="end"/>
      </w:r>
    </w:p>
    <w:p>
      <w:pPr>
        <w:pStyle w:val="10"/>
        <w:tabs>
          <w:tab w:val="right" w:leader="dot" w:pos="9241"/>
        </w:tabs>
        <w:spacing w:before="78" w:beforeLines="25" w:after="78" w:afterLines="25"/>
        <w:jc w:val="left"/>
        <w:rPr>
          <w:rFonts w:ascii="宋体" w:hAnsi="Times New Roman"/>
          <w:szCs w:val="21"/>
        </w:rPr>
      </w:pPr>
      <w:r>
        <w:fldChar w:fldCharType="begin"/>
      </w:r>
      <w:r>
        <w:instrText xml:space="preserve"> HYPERLINK \l "_Toc9878" </w:instrText>
      </w:r>
      <w:r>
        <w:fldChar w:fldCharType="separate"/>
      </w:r>
      <w:r>
        <w:rPr>
          <w:rFonts w:hint="eastAsia" w:ascii="宋体" w:hAnsi="Times New Roman"/>
          <w:szCs w:val="21"/>
        </w:rPr>
        <w:t>3 术语和定义</w:t>
      </w:r>
      <w:r>
        <w:rPr>
          <w:rFonts w:hint="eastAsia" w:ascii="宋体" w:hAnsi="Times New Roman"/>
          <w:szCs w:val="21"/>
        </w:rPr>
        <w:tab/>
      </w:r>
      <w:r>
        <w:rPr>
          <w:rFonts w:hint="eastAsia" w:ascii="宋体" w:hAnsi="Times New Roman"/>
          <w:szCs w:val="21"/>
        </w:rPr>
        <w:fldChar w:fldCharType="begin"/>
      </w:r>
      <w:r>
        <w:rPr>
          <w:rFonts w:hint="eastAsia" w:ascii="宋体" w:hAnsi="Times New Roman"/>
          <w:szCs w:val="21"/>
        </w:rPr>
        <w:instrText xml:space="preserve"> PAGEREF _Toc9878 </w:instrText>
      </w:r>
      <w:r>
        <w:rPr>
          <w:rFonts w:hint="eastAsia" w:ascii="宋体" w:hAnsi="Times New Roman"/>
          <w:szCs w:val="21"/>
        </w:rPr>
        <w:fldChar w:fldCharType="separate"/>
      </w:r>
      <w:r>
        <w:rPr>
          <w:rFonts w:hint="eastAsia" w:ascii="宋体" w:hAnsi="Times New Roman"/>
          <w:szCs w:val="21"/>
        </w:rPr>
        <w:t>1</w:t>
      </w:r>
      <w:r>
        <w:rPr>
          <w:rFonts w:hint="eastAsia" w:ascii="宋体" w:hAnsi="Times New Roman"/>
          <w:szCs w:val="21"/>
        </w:rPr>
        <w:fldChar w:fldCharType="end"/>
      </w:r>
      <w:r>
        <w:rPr>
          <w:rFonts w:hint="eastAsia" w:ascii="宋体" w:hAnsi="Times New Roman"/>
          <w:szCs w:val="21"/>
        </w:rPr>
        <w:fldChar w:fldCharType="end"/>
      </w:r>
    </w:p>
    <w:p>
      <w:pPr>
        <w:pStyle w:val="10"/>
        <w:tabs>
          <w:tab w:val="right" w:leader="dot" w:pos="9241"/>
        </w:tabs>
        <w:spacing w:before="78" w:beforeLines="25" w:after="78" w:afterLines="25"/>
        <w:jc w:val="left"/>
        <w:rPr>
          <w:rFonts w:ascii="宋体" w:hAnsi="Times New Roman"/>
          <w:szCs w:val="21"/>
        </w:rPr>
      </w:pPr>
      <w:r>
        <w:fldChar w:fldCharType="begin"/>
      </w:r>
      <w:r>
        <w:instrText xml:space="preserve"> HYPERLINK \l "_Toc19182" </w:instrText>
      </w:r>
      <w:r>
        <w:fldChar w:fldCharType="separate"/>
      </w:r>
      <w:r>
        <w:rPr>
          <w:rFonts w:hint="eastAsia" w:ascii="宋体" w:hAnsi="Times New Roman"/>
          <w:szCs w:val="21"/>
        </w:rPr>
        <w:t>4 运行维护</w:t>
      </w:r>
      <w:r>
        <w:rPr>
          <w:rFonts w:hint="eastAsia" w:ascii="宋体" w:hAnsi="Times New Roman"/>
          <w:szCs w:val="21"/>
        </w:rPr>
        <w:tab/>
      </w:r>
      <w:r>
        <w:rPr>
          <w:rFonts w:hint="eastAsia" w:ascii="宋体" w:hAnsi="Times New Roman"/>
          <w:szCs w:val="21"/>
        </w:rPr>
        <w:fldChar w:fldCharType="begin"/>
      </w:r>
      <w:r>
        <w:rPr>
          <w:rFonts w:hint="eastAsia" w:ascii="宋体" w:hAnsi="Times New Roman"/>
          <w:szCs w:val="21"/>
        </w:rPr>
        <w:instrText xml:space="preserve"> PAGEREF _Toc19182 </w:instrText>
      </w:r>
      <w:r>
        <w:rPr>
          <w:rFonts w:hint="eastAsia" w:ascii="宋体" w:hAnsi="Times New Roman"/>
          <w:szCs w:val="21"/>
        </w:rPr>
        <w:fldChar w:fldCharType="separate"/>
      </w:r>
      <w:r>
        <w:rPr>
          <w:rFonts w:hint="eastAsia" w:ascii="宋体" w:hAnsi="Times New Roman"/>
          <w:szCs w:val="21"/>
        </w:rPr>
        <w:t>2</w:t>
      </w:r>
      <w:r>
        <w:rPr>
          <w:rFonts w:hint="eastAsia" w:ascii="宋体" w:hAnsi="Times New Roman"/>
          <w:szCs w:val="21"/>
        </w:rPr>
        <w:fldChar w:fldCharType="end"/>
      </w:r>
      <w:r>
        <w:rPr>
          <w:rFonts w:hint="eastAsia" w:ascii="宋体" w:hAnsi="Times New Roman"/>
          <w:szCs w:val="21"/>
        </w:rPr>
        <w:fldChar w:fldCharType="end"/>
      </w:r>
    </w:p>
    <w:p>
      <w:pPr>
        <w:pStyle w:val="10"/>
        <w:tabs>
          <w:tab w:val="right" w:leader="dot" w:pos="9241"/>
        </w:tabs>
        <w:spacing w:before="78" w:beforeLines="25" w:after="78" w:afterLines="25"/>
        <w:jc w:val="left"/>
      </w:pPr>
      <w:r>
        <w:fldChar w:fldCharType="begin"/>
      </w:r>
      <w:r>
        <w:instrText xml:space="preserve"> HYPERLINK \l "_Toc20562" </w:instrText>
      </w:r>
      <w:r>
        <w:fldChar w:fldCharType="separate"/>
      </w:r>
      <w:r>
        <w:rPr>
          <w:rFonts w:hint="eastAsia" w:ascii="宋体" w:hAnsi="Times New Roman"/>
          <w:szCs w:val="21"/>
        </w:rPr>
        <w:t>5 质量保证与质量控制</w:t>
      </w:r>
      <w:r>
        <w:rPr>
          <w:rFonts w:hint="eastAsia" w:ascii="宋体" w:hAnsi="Times New Roman"/>
          <w:szCs w:val="21"/>
        </w:rPr>
        <w:tab/>
      </w:r>
      <w:r>
        <w:rPr>
          <w:rFonts w:hint="eastAsia" w:ascii="宋体" w:hAnsi="Times New Roman"/>
          <w:szCs w:val="21"/>
        </w:rPr>
        <w:t>4</w:t>
      </w:r>
      <w:r>
        <w:rPr>
          <w:rFonts w:hint="eastAsia" w:ascii="宋体" w:hAnsi="Times New Roman"/>
          <w:szCs w:val="21"/>
        </w:rPr>
        <w:fldChar w:fldCharType="end"/>
      </w:r>
    </w:p>
    <w:p>
      <w:pPr>
        <w:pStyle w:val="10"/>
        <w:tabs>
          <w:tab w:val="right" w:leader="dot" w:pos="9241"/>
        </w:tabs>
        <w:spacing w:before="78" w:beforeLines="25" w:after="78" w:afterLines="25"/>
        <w:jc w:val="left"/>
      </w:pPr>
      <w:r>
        <w:rPr>
          <w:rFonts w:hint="eastAsia" w:ascii="宋体" w:hAnsi="Times New Roman"/>
          <w:szCs w:val="21"/>
        </w:rPr>
        <w:t>6 数据质量管理</w:t>
      </w:r>
      <w:r>
        <w:fldChar w:fldCharType="begin"/>
      </w:r>
      <w:r>
        <w:instrText xml:space="preserve"> HYPERLINK \l "_Toc32572" </w:instrText>
      </w:r>
      <w:r>
        <w:fldChar w:fldCharType="separate"/>
      </w:r>
      <w:r>
        <w:rPr>
          <w:rFonts w:hint="eastAsia" w:ascii="宋体" w:hAnsi="Times New Roman"/>
          <w:szCs w:val="21"/>
        </w:rPr>
        <w:tab/>
      </w:r>
      <w:r>
        <w:rPr>
          <w:rFonts w:hint="eastAsia" w:ascii="宋体" w:hAnsi="Times New Roman"/>
          <w:szCs w:val="21"/>
        </w:rPr>
        <w:t>7</w:t>
      </w:r>
      <w:r>
        <w:rPr>
          <w:rFonts w:hint="eastAsia" w:ascii="宋体" w:hAnsi="Times New Roman"/>
          <w:szCs w:val="21"/>
        </w:rPr>
        <w:fldChar w:fldCharType="end"/>
      </w:r>
    </w:p>
    <w:p>
      <w:pPr>
        <w:pStyle w:val="10"/>
        <w:tabs>
          <w:tab w:val="right" w:leader="dot" w:pos="9241"/>
        </w:tabs>
        <w:spacing w:before="78" w:beforeLines="25" w:after="78" w:afterLines="25"/>
        <w:jc w:val="left"/>
      </w:pPr>
      <w:r>
        <w:rPr>
          <w:rFonts w:hint="eastAsia" w:ascii="宋体" w:hAnsi="Times New Roman"/>
          <w:szCs w:val="21"/>
        </w:rPr>
        <w:t>7</w:t>
      </w:r>
      <w:r>
        <w:fldChar w:fldCharType="begin"/>
      </w:r>
      <w:r>
        <w:instrText xml:space="preserve"> HYPERLINK \l "_Toc32572" </w:instrText>
      </w:r>
      <w:r>
        <w:fldChar w:fldCharType="separate"/>
      </w:r>
      <w:r>
        <w:rPr>
          <w:rFonts w:hint="eastAsia" w:ascii="宋体" w:hAnsi="Times New Roman"/>
          <w:szCs w:val="21"/>
        </w:rPr>
        <w:t xml:space="preserve"> 运维记录与档案</w:t>
      </w:r>
      <w:r>
        <w:rPr>
          <w:rFonts w:hint="eastAsia" w:ascii="宋体" w:hAnsi="Times New Roman"/>
          <w:szCs w:val="21"/>
        </w:rPr>
        <w:tab/>
      </w:r>
      <w:r>
        <w:rPr>
          <w:rFonts w:hint="eastAsia" w:ascii="宋体" w:hAnsi="Times New Roman"/>
          <w:szCs w:val="21"/>
        </w:rPr>
        <w:t>7</w:t>
      </w:r>
      <w:r>
        <w:rPr>
          <w:rFonts w:hint="eastAsia" w:ascii="宋体" w:hAnsi="Times New Roman"/>
          <w:szCs w:val="21"/>
        </w:rPr>
        <w:fldChar w:fldCharType="end"/>
      </w:r>
    </w:p>
    <w:p>
      <w:pPr>
        <w:pStyle w:val="10"/>
        <w:tabs>
          <w:tab w:val="right" w:leader="dot" w:pos="9241"/>
        </w:tabs>
        <w:spacing w:before="78" w:beforeLines="25" w:after="78" w:afterLines="25"/>
        <w:jc w:val="left"/>
        <w:rPr>
          <w:rFonts w:ascii="宋体" w:hAnsi="Times New Roman"/>
          <w:szCs w:val="21"/>
        </w:rPr>
      </w:pPr>
      <w:r>
        <w:fldChar w:fldCharType="begin"/>
      </w:r>
      <w:r>
        <w:instrText xml:space="preserve"> HYPERLINK \l "_Toc27753" </w:instrText>
      </w:r>
      <w:r>
        <w:fldChar w:fldCharType="separate"/>
      </w:r>
      <w:r>
        <w:rPr>
          <w:rFonts w:hint="eastAsia" w:ascii="宋体" w:hAnsi="Times New Roman"/>
          <w:szCs w:val="21"/>
        </w:rPr>
        <w:t xml:space="preserve">附录A （规范性） </w:t>
      </w:r>
      <w:r>
        <w:rPr>
          <w:rFonts w:hint="eastAsia" w:ascii="宋体" w:hAnsi="Times New Roman"/>
          <w:szCs w:val="21"/>
        </w:rPr>
        <w:tab/>
      </w:r>
      <w:r>
        <w:rPr>
          <w:rFonts w:hint="eastAsia" w:ascii="宋体" w:hAnsi="Times New Roman"/>
          <w:szCs w:val="21"/>
        </w:rPr>
        <w:t>9</w:t>
      </w:r>
      <w:r>
        <w:rPr>
          <w:rFonts w:hint="eastAsia" w:ascii="宋体" w:hAnsi="Times New Roman"/>
          <w:szCs w:val="21"/>
        </w:rPr>
        <w:fldChar w:fldCharType="end"/>
      </w:r>
    </w:p>
    <w:p>
      <w:pPr>
        <w:pStyle w:val="10"/>
        <w:tabs>
          <w:tab w:val="right" w:leader="dot" w:pos="9241"/>
        </w:tabs>
        <w:spacing w:before="78" w:beforeLines="25" w:after="78" w:afterLines="25"/>
        <w:jc w:val="left"/>
        <w:rPr>
          <w:rFonts w:ascii="宋体" w:hAnsi="Times New Roman"/>
          <w:szCs w:val="21"/>
        </w:rPr>
      </w:pPr>
      <w:r>
        <w:fldChar w:fldCharType="begin"/>
      </w:r>
      <w:r>
        <w:instrText xml:space="preserve"> HYPERLINK \l "_Toc5238" </w:instrText>
      </w:r>
      <w:r>
        <w:fldChar w:fldCharType="separate"/>
      </w:r>
      <w:r>
        <w:rPr>
          <w:rFonts w:hint="eastAsia" w:ascii="宋体" w:hAnsi="Times New Roman"/>
          <w:szCs w:val="21"/>
        </w:rPr>
        <w:t xml:space="preserve">附录B （规范性） </w:t>
      </w:r>
      <w:r>
        <w:rPr>
          <w:rFonts w:hint="eastAsia" w:ascii="宋体" w:hAnsi="Times New Roman"/>
          <w:szCs w:val="21"/>
        </w:rPr>
        <w:tab/>
      </w:r>
      <w:r>
        <w:rPr>
          <w:rFonts w:hint="eastAsia" w:ascii="宋体" w:hAnsi="Times New Roman"/>
          <w:szCs w:val="21"/>
        </w:rPr>
        <w:fldChar w:fldCharType="begin"/>
      </w:r>
      <w:r>
        <w:rPr>
          <w:rFonts w:hint="eastAsia" w:ascii="宋体" w:hAnsi="Times New Roman"/>
          <w:szCs w:val="21"/>
        </w:rPr>
        <w:instrText xml:space="preserve"> PAGEREF _Toc5238 </w:instrText>
      </w:r>
      <w:r>
        <w:rPr>
          <w:rFonts w:hint="eastAsia" w:ascii="宋体" w:hAnsi="Times New Roman"/>
          <w:szCs w:val="21"/>
        </w:rPr>
        <w:fldChar w:fldCharType="separate"/>
      </w:r>
      <w:r>
        <w:rPr>
          <w:rFonts w:hint="eastAsia" w:ascii="宋体" w:hAnsi="Times New Roman"/>
          <w:szCs w:val="21"/>
        </w:rPr>
        <w:t>11</w:t>
      </w:r>
      <w:r>
        <w:rPr>
          <w:rFonts w:hint="eastAsia" w:ascii="宋体" w:hAnsi="Times New Roman"/>
          <w:szCs w:val="21"/>
        </w:rPr>
        <w:fldChar w:fldCharType="end"/>
      </w:r>
      <w:r>
        <w:rPr>
          <w:rFonts w:hint="eastAsia" w:ascii="宋体" w:hAnsi="Times New Roman"/>
          <w:szCs w:val="21"/>
        </w:rPr>
        <w:fldChar w:fldCharType="end"/>
      </w:r>
    </w:p>
    <w:p>
      <w:pPr>
        <w:pStyle w:val="10"/>
        <w:tabs>
          <w:tab w:val="right" w:leader="middleDot" w:pos="8306"/>
        </w:tabs>
        <w:spacing w:line="288"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fldChar w:fldCharType="end"/>
      </w:r>
    </w:p>
    <w:p>
      <w:pPr>
        <w:spacing w:line="480" w:lineRule="auto"/>
        <w:jc w:val="center"/>
        <w:rPr>
          <w:rFonts w:ascii="Times New Roman" w:hAnsi="Times New Roman" w:eastAsia="黑体"/>
          <w:sz w:val="32"/>
          <w:szCs w:val="32"/>
        </w:rPr>
      </w:pPr>
    </w:p>
    <w:p>
      <w:pPr>
        <w:tabs>
          <w:tab w:val="left" w:pos="8056"/>
        </w:tabs>
        <w:spacing w:line="480" w:lineRule="auto"/>
        <w:jc w:val="left"/>
        <w:rPr>
          <w:rFonts w:ascii="Times New Roman" w:hAnsi="Times New Roman" w:eastAsia="黑体"/>
          <w:sz w:val="32"/>
          <w:szCs w:val="32"/>
        </w:rPr>
      </w:pPr>
      <w:r>
        <w:rPr>
          <w:rFonts w:hint="eastAsia" w:ascii="Times New Roman" w:hAnsi="Times New Roman" w:eastAsia="黑体"/>
          <w:sz w:val="32"/>
          <w:szCs w:val="32"/>
        </w:rPr>
        <w:tab/>
      </w:r>
    </w:p>
    <w:p>
      <w:pPr>
        <w:widowControl/>
        <w:jc w:val="left"/>
        <w:rPr>
          <w:rFonts w:ascii="Times New Roman" w:hAnsi="Times New Roman" w:eastAsia="黑体"/>
          <w:sz w:val="32"/>
          <w:szCs w:val="32"/>
        </w:rPr>
      </w:pPr>
      <w:r>
        <w:rPr>
          <w:rFonts w:ascii="Times New Roman" w:hAnsi="Times New Roman" w:eastAsia="黑体"/>
          <w:sz w:val="32"/>
          <w:szCs w:val="32"/>
        </w:rPr>
        <w:br w:type="page"/>
      </w:r>
    </w:p>
    <w:p>
      <w:pPr>
        <w:pStyle w:val="48"/>
        <w:rPr>
          <w:szCs w:val="22"/>
        </w:rPr>
      </w:pPr>
      <w:bookmarkStart w:id="0" w:name="_Toc28702"/>
      <w:r>
        <w:rPr>
          <w:rFonts w:hint="eastAsia"/>
          <w:szCs w:val="22"/>
        </w:rPr>
        <w:t>前  言</w:t>
      </w:r>
      <w:bookmarkEnd w:id="0"/>
    </w:p>
    <w:p>
      <w:pPr>
        <w:pStyle w:val="23"/>
        <w:rPr>
          <w:rFonts w:ascii="Times New Roman"/>
          <w:szCs w:val="22"/>
        </w:rPr>
      </w:pPr>
      <w:r>
        <w:rPr>
          <w:rFonts w:ascii="Times New Roman"/>
          <w:szCs w:val="22"/>
        </w:rPr>
        <w:t>本文件按照GB/T 1.1-2020</w:t>
      </w:r>
      <w:r>
        <w:rPr>
          <w:rFonts w:hint="eastAsia" w:ascii="Times New Roman"/>
          <w:szCs w:val="22"/>
        </w:rPr>
        <w:t>《</w:t>
      </w:r>
      <w:r>
        <w:rPr>
          <w:rFonts w:ascii="Times New Roman"/>
          <w:szCs w:val="22"/>
        </w:rPr>
        <w:t>标准化工作导则</w:t>
      </w:r>
      <w:r>
        <w:rPr>
          <w:rFonts w:hint="eastAsia" w:ascii="Times New Roman"/>
          <w:szCs w:val="22"/>
        </w:rPr>
        <w:t xml:space="preserve"> </w:t>
      </w:r>
      <w:r>
        <w:rPr>
          <w:rFonts w:ascii="Times New Roman"/>
          <w:szCs w:val="22"/>
        </w:rPr>
        <w:t>第1部分：标准化文件的结构和起草规则</w:t>
      </w:r>
      <w:r>
        <w:rPr>
          <w:rFonts w:hint="eastAsia" w:ascii="Times New Roman"/>
          <w:szCs w:val="22"/>
        </w:rPr>
        <w:t>》</w:t>
      </w:r>
      <w:r>
        <w:rPr>
          <w:rFonts w:ascii="Times New Roman"/>
          <w:szCs w:val="22"/>
        </w:rPr>
        <w:t>的规</w:t>
      </w:r>
      <w:r>
        <w:rPr>
          <w:rFonts w:hint="eastAsia" w:ascii="Times New Roman"/>
          <w:szCs w:val="22"/>
        </w:rPr>
        <w:t>定</w:t>
      </w:r>
      <w:r>
        <w:rPr>
          <w:rFonts w:ascii="Times New Roman"/>
          <w:szCs w:val="22"/>
        </w:rPr>
        <w:t>起草。</w:t>
      </w:r>
    </w:p>
    <w:p>
      <w:pPr>
        <w:pStyle w:val="23"/>
        <w:rPr>
          <w:rFonts w:ascii="Times New Roman"/>
          <w:szCs w:val="22"/>
        </w:rPr>
      </w:pPr>
      <w:r>
        <w:rPr>
          <w:rFonts w:ascii="Times New Roman"/>
          <w:szCs w:val="22"/>
        </w:rPr>
        <w:t>请注意本文件的某些内容可能涉及专利。本文件的发布机构不承担识别专利的责任。</w:t>
      </w:r>
    </w:p>
    <w:p>
      <w:pPr>
        <w:pStyle w:val="23"/>
        <w:rPr>
          <w:rFonts w:ascii="Times New Roman"/>
          <w:szCs w:val="22"/>
        </w:rPr>
      </w:pPr>
      <w:r>
        <w:rPr>
          <w:rFonts w:ascii="Times New Roman"/>
          <w:szCs w:val="22"/>
        </w:rPr>
        <w:t>本文件由陕西省生态环境厅提出并归口。</w:t>
      </w:r>
    </w:p>
    <w:p>
      <w:pPr>
        <w:pStyle w:val="23"/>
        <w:rPr>
          <w:rFonts w:ascii="Times New Roman"/>
          <w:szCs w:val="22"/>
        </w:rPr>
      </w:pPr>
      <w:r>
        <w:rPr>
          <w:rFonts w:ascii="Times New Roman"/>
          <w:szCs w:val="22"/>
        </w:rPr>
        <w:t>起草单位：陕西省环境监测中心站、</w:t>
      </w:r>
      <w:r>
        <w:rPr>
          <w:rFonts w:hint="eastAsia" w:ascii="Times New Roman"/>
          <w:szCs w:val="22"/>
        </w:rPr>
        <w:t>北京雪迪龙科技股份有限公司、力合科技（湖南）股份有限公司、</w:t>
      </w:r>
      <w:r>
        <w:fldChar w:fldCharType="begin"/>
      </w:r>
      <w:r>
        <w:instrText xml:space="preserve">HYPERLINK "http://www.baidu.com/link?url=Jqti4xV5auip_1CrDZxZTRM2qHakeLmg3U8CGf7zytG" \t "https://www.baidu.com/_blank"</w:instrText>
      </w:r>
      <w:r>
        <w:fldChar w:fldCharType="separate"/>
      </w:r>
      <w:r>
        <w:rPr>
          <w:rFonts w:hint="eastAsia" w:ascii="Times New Roman"/>
          <w:szCs w:val="22"/>
        </w:rPr>
        <w:t>陕西晟达检测技术有限公司</w:t>
      </w:r>
      <w:r>
        <w:fldChar w:fldCharType="end"/>
      </w:r>
      <w:r>
        <w:rPr>
          <w:rFonts w:hint="eastAsia" w:ascii="Times New Roman"/>
          <w:szCs w:val="22"/>
        </w:rPr>
        <w:t>、西安建筑科技大学、西安理工大学</w:t>
      </w:r>
      <w:r>
        <w:rPr>
          <w:rFonts w:ascii="Times New Roman"/>
          <w:szCs w:val="22"/>
        </w:rPr>
        <w:t>。</w:t>
      </w:r>
    </w:p>
    <w:p>
      <w:pPr>
        <w:pStyle w:val="23"/>
        <w:rPr>
          <w:rFonts w:ascii="Times New Roman"/>
          <w:szCs w:val="22"/>
        </w:rPr>
      </w:pPr>
      <w:r>
        <w:rPr>
          <w:rFonts w:ascii="Times New Roman"/>
          <w:szCs w:val="22"/>
        </w:rPr>
        <w:t>本文件主要起草人：</w:t>
      </w:r>
      <w:r>
        <w:rPr>
          <w:rFonts w:hint="eastAsia" w:ascii="Times New Roman"/>
          <w:szCs w:val="22"/>
        </w:rPr>
        <w:t>马文鹏、裴晓龙、XXX等。</w:t>
      </w:r>
      <w:r>
        <w:rPr>
          <w:rFonts w:ascii="Times New Roman"/>
          <w:szCs w:val="22"/>
        </w:rPr>
        <w:t xml:space="preserve">  </w:t>
      </w:r>
    </w:p>
    <w:p>
      <w:pPr>
        <w:pStyle w:val="23"/>
        <w:rPr>
          <w:rFonts w:ascii="Times New Roman"/>
        </w:rPr>
      </w:pPr>
      <w:r>
        <w:rPr>
          <w:rFonts w:ascii="Times New Roman"/>
        </w:rPr>
        <w:t>本文件由陕西省生态环境厅负责解释。</w:t>
      </w:r>
    </w:p>
    <w:p>
      <w:pPr>
        <w:pStyle w:val="23"/>
        <w:rPr>
          <w:rFonts w:ascii="Times New Roman"/>
        </w:rPr>
      </w:pPr>
      <w:r>
        <w:rPr>
          <w:rFonts w:ascii="Times New Roman"/>
        </w:rPr>
        <w:t>本文件为首次发布。</w:t>
      </w:r>
    </w:p>
    <w:p>
      <w:pPr>
        <w:pStyle w:val="23"/>
        <w:rPr>
          <w:rFonts w:ascii="Times New Roman"/>
          <w:szCs w:val="22"/>
        </w:rPr>
      </w:pPr>
      <w:r>
        <w:rPr>
          <w:rFonts w:ascii="Times New Roman"/>
          <w:szCs w:val="22"/>
        </w:rPr>
        <w:t>联系信息如下：</w:t>
      </w:r>
    </w:p>
    <w:p>
      <w:pPr>
        <w:pStyle w:val="23"/>
        <w:rPr>
          <w:rFonts w:ascii="Times New Roman"/>
          <w:szCs w:val="22"/>
        </w:rPr>
      </w:pPr>
      <w:r>
        <w:rPr>
          <w:rFonts w:ascii="Times New Roman"/>
          <w:szCs w:val="22"/>
        </w:rPr>
        <w:t>单位：陕西省环境监测中心站</w:t>
      </w:r>
    </w:p>
    <w:p>
      <w:pPr>
        <w:pStyle w:val="23"/>
        <w:rPr>
          <w:rFonts w:ascii="Times New Roman"/>
          <w:szCs w:val="22"/>
        </w:rPr>
      </w:pPr>
      <w:r>
        <w:rPr>
          <w:rFonts w:ascii="Times New Roman"/>
          <w:szCs w:val="22"/>
        </w:rPr>
        <w:t>电话：029-85429119</w:t>
      </w:r>
    </w:p>
    <w:p>
      <w:pPr>
        <w:pStyle w:val="23"/>
        <w:rPr>
          <w:rFonts w:ascii="Times New Roman"/>
          <w:szCs w:val="22"/>
        </w:rPr>
      </w:pPr>
      <w:r>
        <w:rPr>
          <w:rFonts w:ascii="Times New Roman"/>
          <w:szCs w:val="22"/>
        </w:rPr>
        <w:t>地址：</w:t>
      </w:r>
      <w:r>
        <w:rPr>
          <w:rFonts w:ascii="Times New Roman"/>
        </w:rPr>
        <w:t>陕西省西安市雁塔区西影路 106 号</w:t>
      </w:r>
    </w:p>
    <w:p>
      <w:pPr>
        <w:pStyle w:val="23"/>
        <w:rPr>
          <w:rFonts w:ascii="Times New Roman"/>
          <w:szCs w:val="22"/>
        </w:rPr>
        <w:sectPr>
          <w:headerReference r:id="rId9" w:type="default"/>
          <w:footerReference r:id="rId10" w:type="default"/>
          <w:footerReference r:id="rId11" w:type="even"/>
          <w:pgSz w:w="11906" w:h="16838"/>
          <w:pgMar w:top="567" w:right="1134" w:bottom="1134" w:left="1417" w:header="1417" w:footer="1134" w:gutter="0"/>
          <w:pgNumType w:fmt="upperRoman" w:start="1"/>
          <w:cols w:space="720" w:num="1"/>
          <w:docGrid w:type="lines" w:linePitch="312" w:charSpace="0"/>
        </w:sectPr>
      </w:pPr>
      <w:r>
        <w:rPr>
          <w:rFonts w:ascii="Times New Roman"/>
          <w:szCs w:val="22"/>
        </w:rPr>
        <w:t>邮编：710054</w:t>
      </w:r>
    </w:p>
    <w:p>
      <w:pPr>
        <w:pStyle w:val="43"/>
        <w:rPr>
          <w:rFonts w:hAnsi="Times New Roman"/>
        </w:rPr>
      </w:pPr>
      <w:bookmarkStart w:id="1" w:name="_Toc23234"/>
      <w:bookmarkStart w:id="2" w:name="_Toc9609"/>
      <w:bookmarkStart w:id="3" w:name="_Toc20922"/>
      <w:r>
        <w:rPr>
          <w:rFonts w:hint="eastAsia" w:hAnsi="Times New Roman"/>
        </w:rPr>
        <w:t>地表水自动监测站运维管理技术规范</w:t>
      </w:r>
      <w:bookmarkEnd w:id="1"/>
      <w:bookmarkEnd w:id="2"/>
      <w:bookmarkEnd w:id="3"/>
    </w:p>
    <w:p>
      <w:pPr>
        <w:pStyle w:val="32"/>
        <w:numPr>
          <w:ilvl w:val="0"/>
          <w:numId w:val="3"/>
        </w:numPr>
        <w:spacing w:before="312" w:after="312"/>
      </w:pPr>
      <w:bookmarkStart w:id="4" w:name="_Toc28640_WPSOffice_Level1"/>
      <w:bookmarkStart w:id="5" w:name="_Toc135038710"/>
      <w:bookmarkStart w:id="6" w:name="_Toc135040947"/>
      <w:bookmarkStart w:id="7" w:name="_Toc12869"/>
      <w:bookmarkStart w:id="8" w:name="_Toc18993"/>
      <w:bookmarkStart w:id="9" w:name="_Toc12011"/>
      <w:bookmarkStart w:id="10" w:name="_Toc21837"/>
      <w:bookmarkStart w:id="11" w:name="_Toc24279"/>
      <w:bookmarkStart w:id="12" w:name="_Toc21396"/>
      <w:bookmarkStart w:id="13" w:name="_Toc18946"/>
      <w:bookmarkStart w:id="14" w:name="_Toc22186"/>
      <w:r>
        <w:rPr>
          <w:rFonts w:hint="eastAsia"/>
        </w:rPr>
        <w:t>范围</w:t>
      </w:r>
      <w:bookmarkEnd w:id="4"/>
      <w:bookmarkEnd w:id="5"/>
      <w:bookmarkEnd w:id="6"/>
    </w:p>
    <w:bookmarkEnd w:id="7"/>
    <w:bookmarkEnd w:id="8"/>
    <w:bookmarkEnd w:id="9"/>
    <w:bookmarkEnd w:id="10"/>
    <w:bookmarkEnd w:id="11"/>
    <w:bookmarkEnd w:id="12"/>
    <w:bookmarkEnd w:id="13"/>
    <w:bookmarkEnd w:id="14"/>
    <w:p>
      <w:pPr>
        <w:pStyle w:val="23"/>
        <w:rPr>
          <w:rFonts w:ascii="Times New Roman"/>
          <w:szCs w:val="22"/>
        </w:rPr>
      </w:pPr>
      <w:r>
        <w:rPr>
          <w:rFonts w:hint="eastAsia" w:ascii="Times New Roman"/>
          <w:szCs w:val="22"/>
        </w:rPr>
        <w:t>本文件规定了地表水自动监测站运行维护的内容、质量保证与质量控制、数据质量管理、运维记录与档案的技术要求。</w:t>
      </w:r>
    </w:p>
    <w:p>
      <w:pPr>
        <w:pStyle w:val="23"/>
        <w:rPr>
          <w:rFonts w:ascii="Times New Roman"/>
          <w:szCs w:val="22"/>
        </w:rPr>
      </w:pPr>
      <w:r>
        <w:rPr>
          <w:rFonts w:hint="eastAsia" w:ascii="Times New Roman"/>
          <w:szCs w:val="22"/>
        </w:rPr>
        <w:t>本文件适用于地表水自动监测站的运维管理。</w:t>
      </w:r>
    </w:p>
    <w:p>
      <w:pPr>
        <w:pStyle w:val="32"/>
        <w:numPr>
          <w:ilvl w:val="0"/>
          <w:numId w:val="3"/>
        </w:numPr>
        <w:spacing w:before="312" w:after="312"/>
      </w:pPr>
      <w:bookmarkStart w:id="15" w:name="_Toc32553"/>
      <w:bookmarkStart w:id="16" w:name="_Toc13588"/>
      <w:bookmarkStart w:id="17" w:name="_Toc2094"/>
      <w:bookmarkStart w:id="18" w:name="_Toc18948"/>
      <w:bookmarkStart w:id="19" w:name="_Toc29538"/>
      <w:bookmarkStart w:id="20" w:name="_Toc26578"/>
      <w:bookmarkStart w:id="21" w:name="_Toc10018"/>
      <w:bookmarkStart w:id="22" w:name="_Toc26082"/>
      <w:r>
        <w:t>规范性引用文件</w:t>
      </w:r>
      <w:bookmarkEnd w:id="15"/>
      <w:bookmarkEnd w:id="16"/>
      <w:bookmarkEnd w:id="17"/>
      <w:bookmarkEnd w:id="18"/>
      <w:bookmarkEnd w:id="19"/>
      <w:bookmarkEnd w:id="20"/>
      <w:bookmarkEnd w:id="21"/>
      <w:bookmarkEnd w:id="22"/>
    </w:p>
    <w:p>
      <w:pPr>
        <w:pStyle w:val="23"/>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rPr>
          <w:rFonts w:ascii="Times New Roman"/>
          <w:szCs w:val="22"/>
        </w:rPr>
      </w:pPr>
      <w:r>
        <w:rPr>
          <w:rFonts w:ascii="Times New Roman"/>
          <w:szCs w:val="22"/>
        </w:rPr>
        <w:t>GB/T 8170  数值修约规则与极限数值的表示和判定</w:t>
      </w:r>
    </w:p>
    <w:p>
      <w:pPr>
        <w:pStyle w:val="23"/>
        <w:rPr>
          <w:rFonts w:ascii="Times New Roman"/>
          <w:szCs w:val="22"/>
        </w:rPr>
      </w:pPr>
      <w:r>
        <w:rPr>
          <w:rFonts w:hint="eastAsia" w:ascii="Times New Roman"/>
          <w:szCs w:val="22"/>
        </w:rPr>
        <w:t>HJ 915.3-2024  地表水水质自动监测站（常规五参数、高锰酸盐指数、NH</w:t>
      </w:r>
      <w:r>
        <w:rPr>
          <w:rFonts w:hint="eastAsia" w:ascii="Times New Roman"/>
          <w:szCs w:val="22"/>
          <w:vertAlign w:val="subscript"/>
        </w:rPr>
        <w:t>3</w:t>
      </w:r>
      <w:r>
        <w:rPr>
          <w:rFonts w:hint="eastAsia" w:ascii="Times New Roman"/>
          <w:szCs w:val="22"/>
        </w:rPr>
        <w:t>-N、TP、TN）运行维护技术规范</w:t>
      </w:r>
    </w:p>
    <w:p>
      <w:pPr>
        <w:pStyle w:val="32"/>
        <w:numPr>
          <w:ilvl w:val="0"/>
          <w:numId w:val="3"/>
        </w:numPr>
        <w:spacing w:before="312" w:after="312"/>
      </w:pPr>
      <w:bookmarkStart w:id="23" w:name="_Toc5566"/>
      <w:bookmarkStart w:id="24" w:name="_Toc7157"/>
      <w:bookmarkStart w:id="25" w:name="_Toc9878"/>
      <w:bookmarkStart w:id="26" w:name="_Toc28059"/>
      <w:bookmarkStart w:id="27" w:name="_Toc14226"/>
      <w:bookmarkStart w:id="28" w:name="_Toc1840"/>
      <w:bookmarkStart w:id="29" w:name="_Toc6132"/>
      <w:bookmarkStart w:id="30" w:name="_Toc31954"/>
      <w:r>
        <w:rPr>
          <w:rFonts w:hint="eastAsia"/>
        </w:rPr>
        <w:t>术语和定义</w:t>
      </w:r>
      <w:bookmarkEnd w:id="23"/>
      <w:bookmarkEnd w:id="24"/>
      <w:bookmarkEnd w:id="25"/>
      <w:bookmarkEnd w:id="26"/>
      <w:bookmarkEnd w:id="27"/>
      <w:bookmarkEnd w:id="28"/>
      <w:bookmarkEnd w:id="29"/>
      <w:bookmarkEnd w:id="30"/>
    </w:p>
    <w:p>
      <w:pPr>
        <w:pStyle w:val="23"/>
        <w:rPr>
          <w:rFonts w:ascii="Times New Roman"/>
          <w:szCs w:val="22"/>
        </w:rPr>
      </w:pPr>
      <w:r>
        <w:rPr>
          <w:rFonts w:hint="eastAsia" w:ascii="Times New Roman"/>
          <w:szCs w:val="22"/>
        </w:rPr>
        <w:t>下列术语和定义适用于本文件。</w:t>
      </w:r>
    </w:p>
    <w:p>
      <w:pPr>
        <w:pStyle w:val="22"/>
        <w:numPr>
          <w:ilvl w:val="1"/>
          <w:numId w:val="3"/>
        </w:numPr>
        <w:spacing w:before="156" w:after="156"/>
        <w:ind w:left="0"/>
      </w:pPr>
      <w:bookmarkStart w:id="31" w:name="_Toc28037"/>
      <w:bookmarkStart w:id="32" w:name="_Toc30864"/>
    </w:p>
    <w:p>
      <w:pPr>
        <w:pStyle w:val="23"/>
        <w:rPr>
          <w:rFonts w:hint="eastAsia" w:ascii="黑体" w:hAnsi="黑体" w:eastAsia="黑体"/>
          <w:szCs w:val="22"/>
        </w:rPr>
      </w:pPr>
      <w:r>
        <w:rPr>
          <w:rFonts w:hint="eastAsia" w:ascii="黑体" w:hAnsi="黑体" w:eastAsia="黑体"/>
          <w:szCs w:val="22"/>
        </w:rPr>
        <w:t>低浓度标准标样核查和24 h漂移</w:t>
      </w:r>
      <w:bookmarkEnd w:id="31"/>
      <w:bookmarkEnd w:id="32"/>
      <w:r>
        <w:rPr>
          <w:rFonts w:hint="eastAsia" w:ascii="黑体" w:hAnsi="黑体" w:eastAsia="黑体"/>
          <w:szCs w:val="22"/>
        </w:rPr>
        <w:t xml:space="preserve"> low concentration Standard verification and 24-hour drift</w:t>
      </w:r>
    </w:p>
    <w:p>
      <w:pPr>
        <w:pStyle w:val="23"/>
        <w:rPr>
          <w:rFonts w:ascii="Times New Roman"/>
          <w:szCs w:val="22"/>
        </w:rPr>
      </w:pPr>
      <w:r>
        <w:rPr>
          <w:rFonts w:hint="eastAsia" w:ascii="Times New Roman"/>
          <w:szCs w:val="22"/>
        </w:rPr>
        <w:t>指水质自动监测仪器每日测试1次标样核查上限值0~20 %范围内的标准溶液，用以判断仪器可靠性的措施。</w:t>
      </w:r>
    </w:p>
    <w:p>
      <w:pPr>
        <w:pStyle w:val="23"/>
        <w:rPr>
          <w:rFonts w:ascii="Times New Roman"/>
          <w:szCs w:val="22"/>
        </w:rPr>
      </w:pPr>
      <w:r>
        <w:rPr>
          <w:rFonts w:ascii="Times New Roman"/>
          <w:szCs w:val="21"/>
        </w:rPr>
        <w:t>[来源：</w:t>
      </w:r>
      <w:r>
        <w:rPr>
          <w:rFonts w:hint="eastAsia" w:ascii="Times New Roman"/>
          <w:szCs w:val="22"/>
        </w:rPr>
        <w:t>HJ 915.3-2024</w:t>
      </w:r>
      <w:r>
        <w:rPr>
          <w:rFonts w:ascii="Times New Roman"/>
          <w:szCs w:val="21"/>
        </w:rPr>
        <w:t>,</w:t>
      </w:r>
      <w:r>
        <w:rPr>
          <w:rFonts w:hint="eastAsia" w:ascii="Times New Roman"/>
          <w:szCs w:val="21"/>
        </w:rPr>
        <w:t>A.1</w:t>
      </w:r>
      <w:r>
        <w:rPr>
          <w:rFonts w:ascii="Times New Roman"/>
          <w:szCs w:val="21"/>
        </w:rPr>
        <w:t>]</w:t>
      </w:r>
    </w:p>
    <w:p>
      <w:pPr>
        <w:pStyle w:val="22"/>
        <w:numPr>
          <w:ilvl w:val="1"/>
          <w:numId w:val="3"/>
        </w:numPr>
        <w:spacing w:before="156" w:after="156"/>
        <w:ind w:left="0"/>
      </w:pPr>
      <w:bookmarkStart w:id="33" w:name="_Toc21518"/>
      <w:bookmarkStart w:id="34" w:name="_Toc7667"/>
    </w:p>
    <w:bookmarkEnd w:id="33"/>
    <w:bookmarkEnd w:id="34"/>
    <w:p>
      <w:pPr>
        <w:pStyle w:val="23"/>
        <w:rPr>
          <w:rFonts w:hint="eastAsia" w:ascii="黑体" w:hAnsi="黑体" w:eastAsia="黑体"/>
          <w:szCs w:val="22"/>
        </w:rPr>
      </w:pPr>
      <w:bookmarkStart w:id="35" w:name="_Toc31209"/>
      <w:bookmarkStart w:id="36" w:name="_Toc21542"/>
      <w:r>
        <w:rPr>
          <w:rFonts w:hint="eastAsia" w:ascii="黑体" w:hAnsi="黑体" w:eastAsia="黑体"/>
          <w:szCs w:val="22"/>
        </w:rPr>
        <w:t>高浓度标准标样核查和24 h漂移 high concentration Standard verification  and 24-hour drift</w:t>
      </w:r>
    </w:p>
    <w:p>
      <w:pPr>
        <w:pStyle w:val="23"/>
        <w:rPr>
          <w:rFonts w:ascii="Times New Roman"/>
          <w:szCs w:val="22"/>
        </w:rPr>
      </w:pPr>
      <w:r>
        <w:rPr>
          <w:rFonts w:hint="eastAsia" w:ascii="Times New Roman"/>
          <w:szCs w:val="22"/>
        </w:rPr>
        <w:t>指水质自动监测仪器每日测试1次标样核查上限值80 %左右的标准溶液，用以判断仪器可靠性的措施。</w:t>
      </w:r>
    </w:p>
    <w:p>
      <w:pPr>
        <w:pStyle w:val="23"/>
        <w:rPr>
          <w:rFonts w:ascii="Times New Roman"/>
          <w:szCs w:val="22"/>
        </w:rPr>
      </w:pPr>
      <w:bookmarkStart w:id="37" w:name="OLE_LINK4"/>
      <w:r>
        <w:rPr>
          <w:rFonts w:ascii="Times New Roman"/>
          <w:szCs w:val="21"/>
        </w:rPr>
        <w:t>[来源：</w:t>
      </w:r>
      <w:r>
        <w:rPr>
          <w:rFonts w:hint="eastAsia" w:ascii="Times New Roman"/>
          <w:szCs w:val="22"/>
        </w:rPr>
        <w:t>HJ 915.3-2024</w:t>
      </w:r>
      <w:r>
        <w:rPr>
          <w:rFonts w:ascii="Times New Roman"/>
          <w:szCs w:val="21"/>
        </w:rPr>
        <w:t>,</w:t>
      </w:r>
      <w:r>
        <w:rPr>
          <w:rFonts w:hint="eastAsia" w:ascii="Times New Roman"/>
          <w:szCs w:val="21"/>
        </w:rPr>
        <w:t>A.2</w:t>
      </w:r>
      <w:r>
        <w:rPr>
          <w:rFonts w:ascii="Times New Roman"/>
          <w:szCs w:val="21"/>
        </w:rPr>
        <w:t>]</w:t>
      </w:r>
    </w:p>
    <w:bookmarkEnd w:id="37"/>
    <w:p>
      <w:pPr>
        <w:pStyle w:val="22"/>
        <w:numPr>
          <w:ilvl w:val="1"/>
          <w:numId w:val="3"/>
        </w:numPr>
        <w:spacing w:before="156" w:after="156"/>
        <w:ind w:left="0"/>
      </w:pPr>
    </w:p>
    <w:p>
      <w:pPr>
        <w:pStyle w:val="23"/>
        <w:rPr>
          <w:rFonts w:hint="eastAsia" w:ascii="黑体" w:hAnsi="黑体" w:eastAsia="黑体"/>
          <w:szCs w:val="22"/>
        </w:rPr>
      </w:pPr>
      <w:r>
        <w:rPr>
          <w:rFonts w:hint="eastAsia" w:ascii="黑体" w:hAnsi="黑体" w:eastAsia="黑体"/>
          <w:szCs w:val="22"/>
        </w:rPr>
        <w:t>标样核查 Standard verification</w:t>
      </w:r>
    </w:p>
    <w:p>
      <w:pPr>
        <w:pStyle w:val="23"/>
        <w:rPr>
          <w:rFonts w:ascii="Times New Roman"/>
          <w:szCs w:val="22"/>
        </w:rPr>
      </w:pPr>
      <w:r>
        <w:rPr>
          <w:rFonts w:hint="eastAsia" w:ascii="Times New Roman"/>
          <w:szCs w:val="22"/>
        </w:rPr>
        <w:t>指水质自动监测仪器使用标准溶液开展期间标样核查，用以判断仪器可靠性的措施。</w:t>
      </w:r>
    </w:p>
    <w:p>
      <w:pPr>
        <w:pStyle w:val="23"/>
        <w:rPr>
          <w:rFonts w:ascii="Times New Roman"/>
          <w:szCs w:val="21"/>
        </w:rPr>
      </w:pPr>
      <w:r>
        <w:rPr>
          <w:rFonts w:ascii="Times New Roman"/>
          <w:szCs w:val="21"/>
        </w:rPr>
        <w:t>[来源：</w:t>
      </w:r>
      <w:r>
        <w:rPr>
          <w:rFonts w:hint="eastAsia" w:ascii="Times New Roman"/>
          <w:szCs w:val="22"/>
        </w:rPr>
        <w:t>HJ 915.3-2024</w:t>
      </w:r>
      <w:r>
        <w:rPr>
          <w:rFonts w:ascii="Times New Roman"/>
          <w:szCs w:val="21"/>
        </w:rPr>
        <w:t>,</w:t>
      </w:r>
      <w:r>
        <w:rPr>
          <w:rFonts w:hint="eastAsia" w:ascii="Times New Roman"/>
          <w:szCs w:val="21"/>
        </w:rPr>
        <w:t>A.3</w:t>
      </w:r>
      <w:r>
        <w:rPr>
          <w:rFonts w:ascii="Times New Roman"/>
          <w:szCs w:val="21"/>
        </w:rPr>
        <w:t>]</w:t>
      </w:r>
    </w:p>
    <w:p>
      <w:pPr>
        <w:jc w:val="right"/>
      </w:pPr>
    </w:p>
    <w:bookmarkEnd w:id="35"/>
    <w:bookmarkEnd w:id="36"/>
    <w:p>
      <w:pPr>
        <w:pStyle w:val="22"/>
        <w:numPr>
          <w:ilvl w:val="1"/>
          <w:numId w:val="3"/>
        </w:numPr>
        <w:spacing w:before="156" w:after="156"/>
        <w:ind w:left="0"/>
      </w:pPr>
    </w:p>
    <w:p>
      <w:pPr>
        <w:pStyle w:val="23"/>
        <w:rPr>
          <w:rFonts w:hint="eastAsia" w:ascii="黑体" w:hAnsi="黑体" w:eastAsia="黑体"/>
          <w:szCs w:val="22"/>
        </w:rPr>
      </w:pPr>
      <w:bookmarkStart w:id="38" w:name="_Toc26487"/>
      <w:bookmarkStart w:id="39" w:name="_Toc23639"/>
      <w:r>
        <w:rPr>
          <w:rFonts w:hint="eastAsia" w:ascii="黑体" w:hAnsi="黑体" w:eastAsia="黑体"/>
          <w:szCs w:val="22"/>
        </w:rPr>
        <w:t>多点线性核查 multi-points linear verification</w:t>
      </w:r>
    </w:p>
    <w:p>
      <w:pPr>
        <w:pStyle w:val="23"/>
        <w:rPr>
          <w:rFonts w:ascii="Times New Roman"/>
          <w:szCs w:val="22"/>
        </w:rPr>
      </w:pPr>
      <w:r>
        <w:rPr>
          <w:rFonts w:hint="eastAsia" w:ascii="Times New Roman"/>
          <w:szCs w:val="22"/>
        </w:rPr>
        <w:t>指水质自动分析仪依次测试均匀覆盖跨度范围的4个浓度（含零点、低、中、高四个浓度）的标准溶液，根据测试结果进行线性拟合，</w:t>
      </w:r>
      <w:bookmarkStart w:id="40" w:name="OLE_LINK5"/>
      <w:r>
        <w:rPr>
          <w:rFonts w:hint="eastAsia" w:ascii="Times New Roman"/>
          <w:szCs w:val="22"/>
        </w:rPr>
        <w:t>用以判断仪器可靠性的措施。</w:t>
      </w:r>
      <w:bookmarkEnd w:id="40"/>
    </w:p>
    <w:p>
      <w:pPr>
        <w:pStyle w:val="23"/>
        <w:rPr>
          <w:rFonts w:ascii="Times New Roman"/>
          <w:szCs w:val="22"/>
        </w:rPr>
      </w:pPr>
      <w:r>
        <w:rPr>
          <w:rFonts w:ascii="Times New Roman"/>
          <w:szCs w:val="21"/>
        </w:rPr>
        <w:t>[来源：</w:t>
      </w:r>
      <w:r>
        <w:rPr>
          <w:rFonts w:hint="eastAsia" w:ascii="Times New Roman"/>
          <w:szCs w:val="22"/>
        </w:rPr>
        <w:t>HJ 915.3-2024</w:t>
      </w:r>
      <w:r>
        <w:rPr>
          <w:rFonts w:ascii="Times New Roman"/>
          <w:szCs w:val="21"/>
        </w:rPr>
        <w:t>,</w:t>
      </w:r>
      <w:r>
        <w:rPr>
          <w:rFonts w:hint="eastAsia" w:ascii="Times New Roman"/>
          <w:szCs w:val="21"/>
        </w:rPr>
        <w:t>A.4</w:t>
      </w:r>
      <w:r>
        <w:rPr>
          <w:rFonts w:ascii="Times New Roman"/>
          <w:szCs w:val="21"/>
        </w:rPr>
        <w:t>]</w:t>
      </w:r>
    </w:p>
    <w:bookmarkEnd w:id="38"/>
    <w:bookmarkEnd w:id="39"/>
    <w:p>
      <w:pPr>
        <w:pStyle w:val="22"/>
        <w:numPr>
          <w:ilvl w:val="1"/>
          <w:numId w:val="3"/>
        </w:numPr>
        <w:spacing w:before="156" w:after="156"/>
        <w:ind w:left="0"/>
      </w:pPr>
      <w:bookmarkStart w:id="41" w:name="_Toc10698"/>
      <w:bookmarkStart w:id="42" w:name="_Toc32497"/>
    </w:p>
    <w:bookmarkEnd w:id="41"/>
    <w:bookmarkEnd w:id="42"/>
    <w:p>
      <w:pPr>
        <w:pStyle w:val="23"/>
        <w:rPr>
          <w:rFonts w:hint="eastAsia" w:hAnsi="宋体" w:cs="宋体"/>
          <w:sz w:val="24"/>
          <w:szCs w:val="24"/>
        </w:rPr>
      </w:pPr>
      <w:r>
        <w:rPr>
          <w:rFonts w:hint="eastAsia" w:ascii="黑体" w:hAnsi="黑体" w:eastAsia="黑体"/>
          <w:szCs w:val="22"/>
        </w:rPr>
        <w:t>加标回收率测定</w:t>
      </w:r>
      <w:r>
        <w:rPr>
          <w:rFonts w:hAnsi="宋体" w:cs="宋体"/>
          <w:sz w:val="24"/>
          <w:szCs w:val="24"/>
        </w:rPr>
        <w:t xml:space="preserve"> </w:t>
      </w:r>
      <w:r>
        <w:rPr>
          <w:rFonts w:hint="eastAsia" w:ascii="黑体" w:hAnsi="黑体" w:eastAsia="黑体"/>
          <w:szCs w:val="22"/>
        </w:rPr>
        <w:t>spike and recovery test</w:t>
      </w:r>
    </w:p>
    <w:p>
      <w:pPr>
        <w:pStyle w:val="23"/>
        <w:rPr>
          <w:rFonts w:ascii="Times New Roman"/>
          <w:szCs w:val="22"/>
        </w:rPr>
      </w:pPr>
      <w:r>
        <w:rPr>
          <w:rFonts w:hint="eastAsia" w:ascii="Times New Roman"/>
          <w:szCs w:val="22"/>
        </w:rPr>
        <w:t>指自动监测仪器开展一次实际水样测定后，对同一样品加入一定量的标准溶液，根据计算标准物质回收率，用以判断仪器可靠性的措施。</w:t>
      </w:r>
    </w:p>
    <w:p>
      <w:pPr>
        <w:pStyle w:val="23"/>
        <w:rPr>
          <w:rFonts w:ascii="Times New Roman"/>
          <w:szCs w:val="22"/>
        </w:rPr>
      </w:pPr>
      <w:r>
        <w:rPr>
          <w:rFonts w:ascii="Times New Roman"/>
          <w:szCs w:val="21"/>
        </w:rPr>
        <w:t>[来源：</w:t>
      </w:r>
      <w:r>
        <w:rPr>
          <w:rFonts w:hint="eastAsia" w:ascii="Times New Roman"/>
          <w:szCs w:val="22"/>
        </w:rPr>
        <w:t>HJ 915.3-2024</w:t>
      </w:r>
      <w:r>
        <w:rPr>
          <w:rFonts w:ascii="Times New Roman"/>
          <w:szCs w:val="21"/>
        </w:rPr>
        <w:t>,</w:t>
      </w:r>
      <w:r>
        <w:rPr>
          <w:rFonts w:hint="eastAsia" w:ascii="Times New Roman"/>
          <w:szCs w:val="21"/>
        </w:rPr>
        <w:t>A.5</w:t>
      </w:r>
      <w:r>
        <w:rPr>
          <w:rFonts w:ascii="Times New Roman"/>
          <w:szCs w:val="21"/>
        </w:rPr>
        <w:t>]</w:t>
      </w:r>
    </w:p>
    <w:p>
      <w:pPr>
        <w:pStyle w:val="22"/>
        <w:numPr>
          <w:ilvl w:val="1"/>
          <w:numId w:val="3"/>
        </w:numPr>
        <w:spacing w:before="156" w:after="156"/>
        <w:ind w:left="0"/>
      </w:pPr>
      <w:bookmarkStart w:id="43" w:name="_Toc10051"/>
      <w:bookmarkStart w:id="44" w:name="_Toc22652"/>
    </w:p>
    <w:p>
      <w:pPr>
        <w:pStyle w:val="23"/>
        <w:rPr>
          <w:rFonts w:hint="eastAsia" w:ascii="黑体" w:hAnsi="黑体" w:eastAsia="黑体"/>
          <w:szCs w:val="22"/>
        </w:rPr>
      </w:pPr>
      <w:r>
        <w:rPr>
          <w:rFonts w:hint="eastAsia" w:ascii="黑体" w:hAnsi="黑体" w:eastAsia="黑体"/>
          <w:szCs w:val="22"/>
        </w:rPr>
        <w:t>集成影响检查  integrated intervention check</w:t>
      </w:r>
      <w:bookmarkEnd w:id="43"/>
      <w:bookmarkEnd w:id="44"/>
    </w:p>
    <w:p>
      <w:pPr>
        <w:pStyle w:val="23"/>
        <w:rPr>
          <w:rFonts w:ascii="Times New Roman"/>
          <w:szCs w:val="22"/>
        </w:rPr>
      </w:pPr>
      <w:r>
        <w:rPr>
          <w:rFonts w:hint="eastAsia" w:ascii="Times New Roman"/>
          <w:szCs w:val="22"/>
        </w:rPr>
        <w:t>指水质自动监测系统开始采水时在采水口处人工采集水样，经预处理后取上清液摇匀，直接经监测仪器测试，与系统自动测定的结果进行比对，用以检查系统集成对水样代表性的影响。</w:t>
      </w:r>
    </w:p>
    <w:p>
      <w:pPr>
        <w:pStyle w:val="23"/>
        <w:rPr>
          <w:rFonts w:ascii="Times New Roman"/>
          <w:szCs w:val="22"/>
        </w:rPr>
      </w:pPr>
      <w:r>
        <w:rPr>
          <w:rFonts w:ascii="Times New Roman"/>
          <w:szCs w:val="21"/>
        </w:rPr>
        <w:t>[来源：</w:t>
      </w:r>
      <w:r>
        <w:rPr>
          <w:rFonts w:hint="eastAsia" w:ascii="Times New Roman"/>
          <w:szCs w:val="22"/>
        </w:rPr>
        <w:t>HJ 915.3-2024</w:t>
      </w:r>
      <w:r>
        <w:rPr>
          <w:rFonts w:ascii="Times New Roman"/>
          <w:szCs w:val="21"/>
        </w:rPr>
        <w:t>,</w:t>
      </w:r>
      <w:r>
        <w:rPr>
          <w:rFonts w:hint="eastAsia" w:ascii="Times New Roman"/>
          <w:szCs w:val="21"/>
        </w:rPr>
        <w:t>A.6</w:t>
      </w:r>
      <w:r>
        <w:rPr>
          <w:rFonts w:ascii="Times New Roman"/>
          <w:szCs w:val="21"/>
        </w:rPr>
        <w:t>]</w:t>
      </w:r>
    </w:p>
    <w:p>
      <w:pPr>
        <w:pStyle w:val="22"/>
        <w:numPr>
          <w:ilvl w:val="1"/>
          <w:numId w:val="3"/>
        </w:numPr>
        <w:spacing w:before="156" w:after="156"/>
        <w:ind w:left="0"/>
      </w:pPr>
      <w:bookmarkStart w:id="45" w:name="_Toc25594"/>
      <w:bookmarkStart w:id="46" w:name="_Toc4035"/>
    </w:p>
    <w:p>
      <w:pPr>
        <w:pStyle w:val="23"/>
        <w:rPr>
          <w:rFonts w:hint="eastAsia" w:ascii="黑体" w:hAnsi="黑体" w:eastAsia="黑体"/>
          <w:szCs w:val="22"/>
        </w:rPr>
      </w:pPr>
      <w:r>
        <w:rPr>
          <w:rFonts w:hint="eastAsia" w:ascii="黑体" w:hAnsi="黑体" w:eastAsia="黑体"/>
          <w:szCs w:val="22"/>
        </w:rPr>
        <w:t xml:space="preserve">实际水样比对 </w:t>
      </w:r>
    </w:p>
    <w:p>
      <w:pPr>
        <w:pStyle w:val="23"/>
        <w:rPr>
          <w:rFonts w:ascii="Times New Roman"/>
          <w:szCs w:val="22"/>
        </w:rPr>
      </w:pPr>
      <w:r>
        <w:rPr>
          <w:rFonts w:hint="eastAsia" w:ascii="Times New Roman"/>
          <w:szCs w:val="22"/>
        </w:rPr>
        <w:t>水质自动监测系统采水时，在站房内或采水点位人工采集原水，计算自动监测的结果相对于实验室分析结果的误差，用以判断仪器可靠性的措施。</w:t>
      </w:r>
    </w:p>
    <w:p>
      <w:pPr>
        <w:pStyle w:val="23"/>
        <w:rPr>
          <w:rFonts w:ascii="Times New Roman"/>
          <w:szCs w:val="22"/>
        </w:rPr>
      </w:pPr>
      <w:r>
        <w:rPr>
          <w:rFonts w:ascii="Times New Roman"/>
          <w:szCs w:val="21"/>
        </w:rPr>
        <w:t>[来源：</w:t>
      </w:r>
      <w:r>
        <w:rPr>
          <w:rFonts w:hint="eastAsia" w:ascii="Times New Roman"/>
          <w:szCs w:val="22"/>
        </w:rPr>
        <w:t>HJ 915.3-2024</w:t>
      </w:r>
      <w:r>
        <w:rPr>
          <w:rFonts w:ascii="Times New Roman"/>
          <w:szCs w:val="21"/>
        </w:rPr>
        <w:t>,</w:t>
      </w:r>
      <w:r>
        <w:rPr>
          <w:rFonts w:hint="eastAsia" w:ascii="Times New Roman"/>
          <w:szCs w:val="21"/>
        </w:rPr>
        <w:t>A.7</w:t>
      </w:r>
      <w:r>
        <w:rPr>
          <w:rFonts w:ascii="Times New Roman"/>
          <w:szCs w:val="21"/>
        </w:rPr>
        <w:t>]</w:t>
      </w:r>
    </w:p>
    <w:bookmarkEnd w:id="45"/>
    <w:bookmarkEnd w:id="46"/>
    <w:p>
      <w:pPr>
        <w:pStyle w:val="32"/>
        <w:numPr>
          <w:ilvl w:val="0"/>
          <w:numId w:val="3"/>
        </w:numPr>
        <w:spacing w:before="312" w:after="312"/>
      </w:pPr>
      <w:bookmarkStart w:id="47" w:name="_Toc19182"/>
      <w:r>
        <w:rPr>
          <w:rFonts w:hint="eastAsia"/>
        </w:rPr>
        <w:t>运行维护</w:t>
      </w:r>
      <w:bookmarkEnd w:id="47"/>
      <w:r>
        <w:rPr>
          <w:rFonts w:hint="eastAsia"/>
        </w:rPr>
        <w:t>的内容和频次</w:t>
      </w:r>
    </w:p>
    <w:p>
      <w:pPr>
        <w:pStyle w:val="22"/>
        <w:numPr>
          <w:ilvl w:val="1"/>
          <w:numId w:val="3"/>
        </w:numPr>
        <w:spacing w:before="156" w:after="156"/>
        <w:ind w:left="0"/>
      </w:pPr>
      <w:r>
        <w:rPr>
          <w:rFonts w:hint="eastAsia"/>
        </w:rPr>
        <w:t>运行维护内容</w:t>
      </w:r>
    </w:p>
    <w:p>
      <w:pPr>
        <w:pStyle w:val="21"/>
        <w:numPr>
          <w:ilvl w:val="2"/>
          <w:numId w:val="3"/>
        </w:numPr>
        <w:spacing w:before="156" w:after="156"/>
      </w:pPr>
      <w:r>
        <w:rPr>
          <w:rFonts w:hint="eastAsia"/>
        </w:rPr>
        <w:t>远程维护</w:t>
      </w:r>
    </w:p>
    <w:p>
      <w:pPr>
        <w:pStyle w:val="23"/>
        <w:rPr>
          <w:rFonts w:ascii="Times New Roman"/>
          <w:szCs w:val="22"/>
        </w:rPr>
      </w:pPr>
      <w:bookmarkStart w:id="48" w:name="_Toc16391_WPSOffice_Level2"/>
      <w:bookmarkStart w:id="49" w:name="_Toc32692_WPSOffice_Level2"/>
      <w:bookmarkStart w:id="50" w:name="_Toc26737_WPSOffice_Level2"/>
      <w:r>
        <w:rPr>
          <w:rFonts w:hint="eastAsia" w:ascii="Times New Roman"/>
          <w:szCs w:val="22"/>
        </w:rPr>
        <w:t>运维人员远程查看数据、视频监控等，确定地表水自动监测站运行状况，发现异常情况时，应进行记录和报告，同时可远程启动校时、复位、核查、校准和清洗等工作。远程维护应至少包括以下内容：</w:t>
      </w:r>
    </w:p>
    <w:p>
      <w:pPr>
        <w:pStyle w:val="46"/>
        <w:rPr>
          <w:rFonts w:ascii="Times New Roman"/>
          <w:szCs w:val="22"/>
        </w:rPr>
      </w:pPr>
      <w:r>
        <w:rPr>
          <w:rFonts w:hint="eastAsia" w:ascii="Times New Roman"/>
          <w:szCs w:val="22"/>
        </w:rPr>
        <w:t>查看地表水自动监测站在线状态，检查数据传输是否正常，数据是否存在缺失；</w:t>
      </w:r>
    </w:p>
    <w:p>
      <w:pPr>
        <w:pStyle w:val="46"/>
        <w:rPr>
          <w:rFonts w:ascii="Times New Roman"/>
          <w:szCs w:val="22"/>
        </w:rPr>
      </w:pPr>
      <w:r>
        <w:rPr>
          <w:rFonts w:hint="eastAsia" w:ascii="Times New Roman"/>
          <w:szCs w:val="22"/>
        </w:rPr>
        <w:t>查看地表水自动监测站数据质量，确认是否存在数据异常预警和监测仪器故障报警等信息，根据测试结果综合判断数据有效性，出现异常数据时，远程对监测仪器开展校时、复位、水样/标样测试、校准等维护工作，确定水质发生重大变化或监测仪器故障，应及时报告和处置，必要时前往现场确认和维护；</w:t>
      </w:r>
    </w:p>
    <w:p>
      <w:pPr>
        <w:pStyle w:val="46"/>
        <w:rPr>
          <w:rFonts w:ascii="Times New Roman"/>
          <w:szCs w:val="22"/>
        </w:rPr>
      </w:pPr>
      <w:r>
        <w:rPr>
          <w:rFonts w:hint="eastAsia" w:ascii="Times New Roman"/>
          <w:szCs w:val="22"/>
        </w:rPr>
        <w:t>查看浮船、浮标站是否存在移位报警，电池电压和湿度是否在正常范围内；</w:t>
      </w:r>
    </w:p>
    <w:p>
      <w:pPr>
        <w:pStyle w:val="46"/>
        <w:rPr>
          <w:rFonts w:ascii="Times New Roman"/>
          <w:szCs w:val="22"/>
        </w:rPr>
      </w:pPr>
      <w:r>
        <w:rPr>
          <w:rFonts w:hint="eastAsia" w:ascii="Times New Roman"/>
          <w:szCs w:val="22"/>
        </w:rPr>
        <w:t>通过视频监控查看采水口、仪器间是否存在异常情况，如发现异常，应及时报告和处置，必要时前往现场确认和维护。</w:t>
      </w:r>
    </w:p>
    <w:p>
      <w:pPr>
        <w:pStyle w:val="21"/>
        <w:numPr>
          <w:ilvl w:val="2"/>
          <w:numId w:val="3"/>
        </w:numPr>
        <w:spacing w:before="156" w:after="156"/>
      </w:pPr>
      <w:bookmarkStart w:id="51" w:name="_Toc29377"/>
      <w:bookmarkStart w:id="52" w:name="_Toc13472"/>
      <w:r>
        <w:rPr>
          <w:rFonts w:hint="eastAsia"/>
        </w:rPr>
        <w:t>现场巡检维护</w:t>
      </w:r>
      <w:bookmarkEnd w:id="51"/>
      <w:bookmarkEnd w:id="52"/>
    </w:p>
    <w:p>
      <w:pPr>
        <w:pStyle w:val="42"/>
        <w:numPr>
          <w:ilvl w:val="3"/>
          <w:numId w:val="3"/>
        </w:numPr>
        <w:rPr>
          <w:b/>
          <w:bCs/>
        </w:rPr>
      </w:pPr>
      <w:r>
        <w:rPr>
          <w:rFonts w:hint="eastAsia"/>
          <w:b/>
          <w:bCs/>
        </w:rPr>
        <w:t>站房及辅助设施</w:t>
      </w:r>
    </w:p>
    <w:p>
      <w:pPr>
        <w:pStyle w:val="23"/>
        <w:rPr>
          <w:rFonts w:ascii="Times New Roman"/>
          <w:szCs w:val="22"/>
        </w:rPr>
      </w:pPr>
      <w:r>
        <w:rPr>
          <w:rFonts w:hint="eastAsia" w:ascii="Times New Roman"/>
          <w:szCs w:val="22"/>
        </w:rPr>
        <w:t>站房及辅助设施现场巡检维护应至少包括以下内容：</w:t>
      </w:r>
    </w:p>
    <w:p>
      <w:pPr>
        <w:pStyle w:val="46"/>
        <w:numPr>
          <w:ilvl w:val="0"/>
          <w:numId w:val="4"/>
        </w:numPr>
        <w:rPr>
          <w:rFonts w:ascii="Times New Roman"/>
          <w:szCs w:val="22"/>
        </w:rPr>
      </w:pPr>
      <w:r>
        <w:rPr>
          <w:rFonts w:hint="eastAsia" w:ascii="Times New Roman"/>
          <w:szCs w:val="22"/>
        </w:rPr>
        <w:t>检查采水点周边环境，当水位发生较大变化时应调整采水口位置以保障采水正常，在封冻期前做好采排水管路保温等维护工作；</w:t>
      </w:r>
    </w:p>
    <w:p>
      <w:pPr>
        <w:pStyle w:val="46"/>
        <w:numPr>
          <w:ilvl w:val="0"/>
          <w:numId w:val="4"/>
        </w:numPr>
        <w:rPr>
          <w:rFonts w:ascii="Times New Roman"/>
          <w:szCs w:val="22"/>
        </w:rPr>
      </w:pPr>
      <w:r>
        <w:rPr>
          <w:rFonts w:hint="eastAsia" w:ascii="Times New Roman"/>
          <w:szCs w:val="22"/>
        </w:rPr>
        <w:t>站房周围的杂草、积水和垃圾应及时清除，保持站房及周边环境干净整洁；</w:t>
      </w:r>
    </w:p>
    <w:p>
      <w:pPr>
        <w:pStyle w:val="46"/>
        <w:numPr>
          <w:ilvl w:val="0"/>
          <w:numId w:val="4"/>
        </w:numPr>
        <w:rPr>
          <w:rFonts w:ascii="Times New Roman"/>
          <w:szCs w:val="22"/>
        </w:rPr>
      </w:pPr>
      <w:r>
        <w:rPr>
          <w:rFonts w:hint="eastAsia" w:ascii="Times New Roman"/>
          <w:szCs w:val="22"/>
        </w:rPr>
        <w:t>查看站房有无雨水渗漏、地基塌陷等情况；</w:t>
      </w:r>
    </w:p>
    <w:p>
      <w:pPr>
        <w:pStyle w:val="46"/>
        <w:numPr>
          <w:ilvl w:val="0"/>
          <w:numId w:val="4"/>
        </w:numPr>
        <w:rPr>
          <w:rFonts w:ascii="Times New Roman"/>
          <w:szCs w:val="22"/>
        </w:rPr>
      </w:pPr>
      <w:r>
        <w:rPr>
          <w:rFonts w:hint="eastAsia" w:ascii="Times New Roman"/>
          <w:szCs w:val="22"/>
        </w:rPr>
        <w:t>查看站房温控设备及保温措施是否正常运行；</w:t>
      </w:r>
    </w:p>
    <w:p>
      <w:pPr>
        <w:pStyle w:val="46"/>
        <w:numPr>
          <w:ilvl w:val="0"/>
          <w:numId w:val="4"/>
        </w:numPr>
        <w:rPr>
          <w:rFonts w:ascii="Times New Roman"/>
          <w:szCs w:val="22"/>
        </w:rPr>
      </w:pPr>
      <w:r>
        <w:rPr>
          <w:rFonts w:hint="eastAsia" w:ascii="Times New Roman"/>
          <w:szCs w:val="22"/>
        </w:rPr>
        <w:t>检查视频监控系统、门禁系统、消防设施、防雷设施是否正常；</w:t>
      </w:r>
    </w:p>
    <w:p>
      <w:pPr>
        <w:pStyle w:val="46"/>
        <w:numPr>
          <w:ilvl w:val="0"/>
          <w:numId w:val="4"/>
        </w:numPr>
        <w:rPr>
          <w:rFonts w:ascii="Times New Roman"/>
          <w:szCs w:val="22"/>
        </w:rPr>
      </w:pPr>
      <w:r>
        <w:rPr>
          <w:rFonts w:hint="eastAsia" w:ascii="Times New Roman"/>
          <w:szCs w:val="22"/>
        </w:rPr>
        <w:t>查看稳压电源、不间断电源（UPS）、空压机、纯水机、除藻装置等辅助设施运行状态，及时更换耗材，并排空空压机积水；</w:t>
      </w:r>
    </w:p>
    <w:p>
      <w:pPr>
        <w:pStyle w:val="46"/>
        <w:numPr>
          <w:ilvl w:val="0"/>
          <w:numId w:val="4"/>
        </w:numPr>
        <w:rPr>
          <w:rFonts w:ascii="Times New Roman"/>
          <w:szCs w:val="22"/>
        </w:rPr>
      </w:pPr>
      <w:r>
        <w:rPr>
          <w:rFonts w:hint="eastAsia" w:ascii="Times New Roman"/>
          <w:szCs w:val="22"/>
        </w:rPr>
        <w:t>检查留样器功能是否正常，与系统控制单元通信是否正常；</w:t>
      </w:r>
    </w:p>
    <w:p>
      <w:pPr>
        <w:pStyle w:val="46"/>
        <w:numPr>
          <w:ilvl w:val="0"/>
          <w:numId w:val="4"/>
        </w:numPr>
        <w:rPr>
          <w:rFonts w:ascii="Times New Roman"/>
          <w:szCs w:val="22"/>
        </w:rPr>
      </w:pPr>
      <w:r>
        <w:rPr>
          <w:rFonts w:hint="eastAsia" w:ascii="Times New Roman"/>
          <w:szCs w:val="22"/>
        </w:rPr>
        <w:t>检查管路和采样瓶是否干净，并及时清洗和维护；</w:t>
      </w:r>
    </w:p>
    <w:p>
      <w:pPr>
        <w:pStyle w:val="46"/>
        <w:numPr>
          <w:ilvl w:val="0"/>
          <w:numId w:val="4"/>
        </w:numPr>
        <w:rPr>
          <w:rFonts w:ascii="Times New Roman"/>
          <w:szCs w:val="22"/>
        </w:rPr>
      </w:pPr>
      <w:r>
        <w:rPr>
          <w:rFonts w:hint="eastAsia" w:ascii="Times New Roman"/>
          <w:szCs w:val="22"/>
        </w:rPr>
        <w:t>对低温冷藏模块进行检查，异常时进行人工除冰；</w:t>
      </w:r>
    </w:p>
    <w:p>
      <w:pPr>
        <w:pStyle w:val="46"/>
        <w:numPr>
          <w:ilvl w:val="0"/>
          <w:numId w:val="4"/>
        </w:numPr>
        <w:rPr>
          <w:rFonts w:ascii="Times New Roman"/>
          <w:szCs w:val="22"/>
        </w:rPr>
      </w:pPr>
      <w:r>
        <w:rPr>
          <w:rFonts w:hint="eastAsia" w:ascii="Times New Roman"/>
          <w:szCs w:val="22"/>
        </w:rPr>
        <w:t>对于富川和浮标站，还应检查浮船和浮标的太阳能供电系统，浮船船体、浮标标体、支架、航标灯等设施是否正常</w:t>
      </w:r>
      <w:r>
        <w:rPr>
          <w:rFonts w:hint="eastAsia"/>
          <w:szCs w:val="21"/>
        </w:rPr>
        <w:t>。</w:t>
      </w:r>
    </w:p>
    <w:p>
      <w:pPr>
        <w:pStyle w:val="42"/>
        <w:numPr>
          <w:ilvl w:val="3"/>
          <w:numId w:val="3"/>
        </w:numPr>
        <w:rPr>
          <w:b/>
          <w:bCs/>
        </w:rPr>
      </w:pPr>
      <w:r>
        <w:rPr>
          <w:rFonts w:hint="eastAsia"/>
          <w:b/>
          <w:bCs/>
        </w:rPr>
        <w:t>采配水及预处理单元</w:t>
      </w:r>
    </w:p>
    <w:p>
      <w:pPr>
        <w:pStyle w:val="23"/>
        <w:rPr>
          <w:rFonts w:ascii="Times New Roman"/>
          <w:szCs w:val="22"/>
        </w:rPr>
      </w:pPr>
      <w:r>
        <w:rPr>
          <w:rFonts w:hint="eastAsia" w:ascii="Times New Roman"/>
          <w:szCs w:val="22"/>
        </w:rPr>
        <w:t>采配水及预处理单元现场巡检维护应至少包括以下内容：</w:t>
      </w:r>
    </w:p>
    <w:p>
      <w:pPr>
        <w:pStyle w:val="46"/>
        <w:numPr>
          <w:ilvl w:val="0"/>
          <w:numId w:val="5"/>
        </w:numPr>
        <w:rPr>
          <w:rFonts w:ascii="Times New Roman"/>
          <w:szCs w:val="22"/>
        </w:rPr>
      </w:pPr>
      <w:r>
        <w:rPr>
          <w:rFonts w:hint="eastAsia" w:ascii="Times New Roman"/>
          <w:szCs w:val="22"/>
        </w:rPr>
        <w:t>检查采水口水体颜色、嗅味、水位变化，及时清理漂浮物及杂草，检查采水口周边是否存在人为干扰监测情况，如发现应及时上报；</w:t>
      </w:r>
    </w:p>
    <w:p>
      <w:pPr>
        <w:pStyle w:val="46"/>
        <w:numPr>
          <w:ilvl w:val="0"/>
          <w:numId w:val="5"/>
        </w:numPr>
        <w:rPr>
          <w:rFonts w:ascii="Times New Roman"/>
          <w:szCs w:val="22"/>
        </w:rPr>
      </w:pPr>
      <w:r>
        <w:rPr>
          <w:rFonts w:hint="eastAsia" w:ascii="Times New Roman"/>
          <w:szCs w:val="22"/>
        </w:rPr>
        <w:t>检查栈桥、浮筒、采水泵、增压泵、电动球阀等设备工作是否正常，检查采配水管路是否有漏液或堵塞现象，及时维护或更换；</w:t>
      </w:r>
    </w:p>
    <w:p>
      <w:pPr>
        <w:pStyle w:val="46"/>
        <w:numPr>
          <w:ilvl w:val="0"/>
          <w:numId w:val="5"/>
        </w:numPr>
        <w:rPr>
          <w:rFonts w:ascii="Times New Roman"/>
          <w:szCs w:val="22"/>
        </w:rPr>
      </w:pPr>
      <w:r>
        <w:rPr>
          <w:rFonts w:hint="eastAsia" w:ascii="Times New Roman"/>
          <w:szCs w:val="22"/>
        </w:rPr>
        <w:t>检查五参数池、沉沙池、样水杯、液位计、相关管路是否干净，及时清洗和维护；</w:t>
      </w:r>
    </w:p>
    <w:p>
      <w:pPr>
        <w:pStyle w:val="46"/>
        <w:numPr>
          <w:ilvl w:val="0"/>
          <w:numId w:val="5"/>
        </w:numPr>
        <w:rPr>
          <w:rFonts w:ascii="Times New Roman"/>
          <w:szCs w:val="22"/>
        </w:rPr>
      </w:pPr>
      <w:r>
        <w:rPr>
          <w:rFonts w:hint="eastAsia" w:ascii="Times New Roman"/>
          <w:szCs w:val="22"/>
        </w:rPr>
        <w:t>检查过滤器、过滤网或精密过滤装置的滤芯、滤棉等预处理设施，及时清洗或更换；</w:t>
      </w:r>
    </w:p>
    <w:p>
      <w:pPr>
        <w:pStyle w:val="46"/>
        <w:numPr>
          <w:ilvl w:val="0"/>
          <w:numId w:val="5"/>
        </w:numPr>
        <w:rPr>
          <w:rFonts w:ascii="Times New Roman"/>
          <w:szCs w:val="22"/>
        </w:rPr>
      </w:pPr>
      <w:r>
        <w:rPr>
          <w:rFonts w:hint="eastAsia" w:ascii="Times New Roman"/>
          <w:szCs w:val="22"/>
        </w:rPr>
        <w:t>检查采配水系统反清洗功能是否正常，异常时对清洗水压力和清洗时间进行调整。</w:t>
      </w:r>
    </w:p>
    <w:p>
      <w:pPr>
        <w:pStyle w:val="42"/>
        <w:numPr>
          <w:ilvl w:val="3"/>
          <w:numId w:val="3"/>
        </w:numPr>
        <w:rPr>
          <w:b/>
          <w:bCs/>
        </w:rPr>
      </w:pPr>
      <w:r>
        <w:rPr>
          <w:rFonts w:hint="eastAsia"/>
          <w:b/>
          <w:bCs/>
        </w:rPr>
        <w:t>分析单元</w:t>
      </w:r>
    </w:p>
    <w:p>
      <w:pPr>
        <w:pStyle w:val="23"/>
        <w:rPr>
          <w:rFonts w:ascii="Times New Roman"/>
          <w:szCs w:val="22"/>
        </w:rPr>
      </w:pPr>
      <w:r>
        <w:rPr>
          <w:rFonts w:hint="eastAsia" w:ascii="Times New Roman"/>
          <w:szCs w:val="22"/>
        </w:rPr>
        <w:t>分析单元的常规五参数</w:t>
      </w:r>
      <w:r>
        <w:rPr>
          <w:rFonts w:ascii="Times New Roman"/>
          <w:szCs w:val="22"/>
        </w:rPr>
        <w:t>（pH、溶解氧、水温、电导率</w:t>
      </w:r>
      <w:r>
        <w:rPr>
          <w:rFonts w:hint="eastAsia" w:ascii="Times New Roman"/>
          <w:szCs w:val="22"/>
        </w:rPr>
        <w:t>和浊度</w:t>
      </w:r>
      <w:r>
        <w:rPr>
          <w:rFonts w:ascii="Times New Roman"/>
          <w:szCs w:val="22"/>
        </w:rPr>
        <w:t>）</w:t>
      </w:r>
      <w:r>
        <w:rPr>
          <w:rFonts w:hint="eastAsia" w:ascii="Times New Roman"/>
          <w:szCs w:val="22"/>
        </w:rPr>
        <w:t>、高锰酸盐指数、氨氮、总磷、总氮、化学需氧量（COD</w:t>
      </w:r>
      <w:r>
        <w:rPr>
          <w:rFonts w:hint="eastAsia" w:ascii="Times New Roman"/>
          <w:szCs w:val="22"/>
          <w:vertAlign w:val="subscript"/>
        </w:rPr>
        <w:t>Cr</w:t>
      </w:r>
      <w:r>
        <w:rPr>
          <w:rFonts w:hint="eastAsia" w:ascii="Times New Roman"/>
          <w:szCs w:val="22"/>
        </w:rPr>
        <w:t>）、挥发酚、石油类、重金属（铜、锌、铅、镉、锑、铊）、叶绿素a 、藻密度等监测仪器现场巡检维护应至少包括以下内容：</w:t>
      </w:r>
    </w:p>
    <w:p>
      <w:pPr>
        <w:pStyle w:val="46"/>
        <w:numPr>
          <w:ilvl w:val="0"/>
          <w:numId w:val="6"/>
        </w:numPr>
        <w:rPr>
          <w:rFonts w:ascii="Times New Roman"/>
          <w:szCs w:val="22"/>
        </w:rPr>
      </w:pPr>
      <w:r>
        <w:rPr>
          <w:rFonts w:hint="eastAsia" w:ascii="Times New Roman"/>
          <w:szCs w:val="22"/>
        </w:rPr>
        <w:t>查看各监测仪器的运行状态和主要技术参数，判断运行是否正常；</w:t>
      </w:r>
    </w:p>
    <w:p>
      <w:pPr>
        <w:pStyle w:val="46"/>
        <w:numPr>
          <w:ilvl w:val="0"/>
          <w:numId w:val="6"/>
        </w:numPr>
        <w:rPr>
          <w:rFonts w:ascii="Times New Roman"/>
          <w:szCs w:val="22"/>
        </w:rPr>
      </w:pPr>
      <w:r>
        <w:rPr>
          <w:rFonts w:hint="eastAsia" w:ascii="Times New Roman"/>
          <w:szCs w:val="22"/>
        </w:rPr>
        <w:t>查看仪器是否存在报警信息，并进行故障排除；</w:t>
      </w:r>
      <w:r>
        <w:rPr>
          <w:rFonts w:ascii="Times New Roman"/>
          <w:szCs w:val="22"/>
        </w:rPr>
        <w:t xml:space="preserve"> </w:t>
      </w:r>
    </w:p>
    <w:p>
      <w:pPr>
        <w:pStyle w:val="46"/>
        <w:numPr>
          <w:ilvl w:val="0"/>
          <w:numId w:val="6"/>
        </w:numPr>
        <w:rPr>
          <w:rFonts w:ascii="Times New Roman"/>
          <w:szCs w:val="22"/>
        </w:rPr>
      </w:pPr>
      <w:r>
        <w:rPr>
          <w:rFonts w:hint="eastAsia" w:ascii="Times New Roman"/>
          <w:szCs w:val="22"/>
        </w:rPr>
        <w:t>检查仪器管路是否存在气泡，接头是否存在漏液，及时进行清洗和维护进样管路，对于无法清洗干净的应立即更换；</w:t>
      </w:r>
    </w:p>
    <w:p>
      <w:pPr>
        <w:pStyle w:val="46"/>
        <w:numPr>
          <w:ilvl w:val="0"/>
          <w:numId w:val="6"/>
        </w:numPr>
        <w:rPr>
          <w:rFonts w:ascii="Times New Roman"/>
          <w:szCs w:val="22"/>
        </w:rPr>
      </w:pPr>
      <w:r>
        <w:rPr>
          <w:rFonts w:hint="eastAsia" w:ascii="Times New Roman"/>
          <w:szCs w:val="22"/>
        </w:rPr>
        <w:t>检查试剂状况，根据试剂有效期及时更换，每次更换试剂后应重新对仪器进行校准并做好记录，试剂瓶应张贴标签，标签内容应包括试剂名称、浓度、配制人、配制日期、有效期等信息；</w:t>
      </w:r>
    </w:p>
    <w:p>
      <w:pPr>
        <w:pStyle w:val="46"/>
        <w:numPr>
          <w:ilvl w:val="0"/>
          <w:numId w:val="6"/>
        </w:numPr>
        <w:rPr>
          <w:rFonts w:ascii="Times New Roman"/>
          <w:szCs w:val="22"/>
        </w:rPr>
      </w:pPr>
      <w:r>
        <w:rPr>
          <w:rFonts w:hint="eastAsia" w:ascii="Times New Roman"/>
          <w:szCs w:val="22"/>
        </w:rPr>
        <w:t>对常规五参数、石油类、叶绿素a和藻密度等监测仪器的电极进行清洗和维护，发现电极老化或损坏应及时校准或更换；</w:t>
      </w:r>
    </w:p>
    <w:p>
      <w:pPr>
        <w:pStyle w:val="46"/>
        <w:numPr>
          <w:ilvl w:val="0"/>
          <w:numId w:val="6"/>
        </w:numPr>
        <w:rPr>
          <w:rFonts w:ascii="Times New Roman"/>
          <w:szCs w:val="22"/>
        </w:rPr>
      </w:pPr>
      <w:r>
        <w:rPr>
          <w:rFonts w:hint="eastAsia" w:ascii="Times New Roman"/>
          <w:szCs w:val="22"/>
        </w:rPr>
        <w:t>检查废液收集装置运行是否正常，废液储存在站房指定区域，并委托有资质的单位安全处置。</w:t>
      </w:r>
    </w:p>
    <w:p>
      <w:pPr>
        <w:pStyle w:val="42"/>
        <w:numPr>
          <w:ilvl w:val="3"/>
          <w:numId w:val="3"/>
        </w:numPr>
        <w:rPr>
          <w:b/>
          <w:bCs/>
        </w:rPr>
      </w:pPr>
      <w:r>
        <w:rPr>
          <w:rFonts w:hint="eastAsia"/>
          <w:b/>
          <w:bCs/>
        </w:rPr>
        <w:t>控制及通信单元</w:t>
      </w:r>
    </w:p>
    <w:p>
      <w:pPr>
        <w:pStyle w:val="23"/>
        <w:rPr>
          <w:rFonts w:ascii="Times New Roman"/>
          <w:szCs w:val="22"/>
        </w:rPr>
      </w:pPr>
      <w:r>
        <w:rPr>
          <w:rFonts w:hint="eastAsia" w:ascii="Times New Roman"/>
          <w:szCs w:val="22"/>
        </w:rPr>
        <w:t>控制及通信单元现场巡检维护应至少包括以下内容：</w:t>
      </w:r>
    </w:p>
    <w:p>
      <w:pPr>
        <w:pStyle w:val="46"/>
        <w:numPr>
          <w:ilvl w:val="0"/>
          <w:numId w:val="7"/>
        </w:numPr>
        <w:rPr>
          <w:rFonts w:ascii="Times New Roman"/>
          <w:szCs w:val="22"/>
        </w:rPr>
      </w:pPr>
      <w:r>
        <w:rPr>
          <w:rFonts w:hint="eastAsia" w:ascii="Times New Roman"/>
          <w:szCs w:val="22"/>
        </w:rPr>
        <w:t>检查工控机运行状态，软件有无病毒，有无报警信息记录，及时升级工控机系统软件；</w:t>
      </w:r>
    </w:p>
    <w:p>
      <w:pPr>
        <w:pStyle w:val="46"/>
        <w:numPr>
          <w:ilvl w:val="0"/>
          <w:numId w:val="7"/>
        </w:numPr>
        <w:rPr>
          <w:rFonts w:ascii="Times New Roman"/>
          <w:szCs w:val="22"/>
        </w:rPr>
      </w:pPr>
      <w:r>
        <w:rPr>
          <w:rFonts w:hint="eastAsia" w:ascii="Times New Roman"/>
          <w:szCs w:val="22"/>
        </w:rPr>
        <w:t>检查通信单元工作是否正常，对光纤或无线信号接入的终端设备、交换机进行检查，确保地表水自行监测站通信正常。采用无线传输的设备，应对无线传输设备（RTU）和太阳能供电系统进行检查和维护；</w:t>
      </w:r>
    </w:p>
    <w:p>
      <w:pPr>
        <w:pStyle w:val="46"/>
        <w:numPr>
          <w:ilvl w:val="0"/>
          <w:numId w:val="7"/>
        </w:numPr>
        <w:rPr>
          <w:rFonts w:ascii="Times New Roman"/>
          <w:szCs w:val="22"/>
        </w:rPr>
      </w:pPr>
      <w:r>
        <w:rPr>
          <w:rFonts w:hint="eastAsia" w:ascii="Times New Roman"/>
          <w:szCs w:val="22"/>
        </w:rPr>
        <w:t>定期使用专用存储设备备份监测数据。</w:t>
      </w:r>
    </w:p>
    <w:p>
      <w:pPr>
        <w:pStyle w:val="21"/>
        <w:numPr>
          <w:ilvl w:val="2"/>
          <w:numId w:val="3"/>
        </w:numPr>
        <w:spacing w:before="156" w:after="156"/>
      </w:pPr>
      <w:bookmarkStart w:id="53" w:name="_Toc10248"/>
      <w:bookmarkStart w:id="54" w:name="_Toc5078"/>
      <w:r>
        <w:rPr>
          <w:rFonts w:hint="eastAsia"/>
        </w:rPr>
        <w:t>保养维护</w:t>
      </w:r>
      <w:bookmarkEnd w:id="53"/>
      <w:bookmarkEnd w:id="54"/>
    </w:p>
    <w:p>
      <w:pPr>
        <w:pStyle w:val="23"/>
        <w:rPr>
          <w:rFonts w:ascii="Times New Roman"/>
          <w:szCs w:val="22"/>
        </w:rPr>
      </w:pPr>
      <w:r>
        <w:rPr>
          <w:rFonts w:hint="eastAsia" w:ascii="Times New Roman"/>
          <w:szCs w:val="22"/>
        </w:rPr>
        <w:t>对站房、监测仪器及相关附属设施的保养维护应至少包括以下内容：</w:t>
      </w:r>
    </w:p>
    <w:p>
      <w:pPr>
        <w:pStyle w:val="46"/>
        <w:numPr>
          <w:ilvl w:val="0"/>
          <w:numId w:val="8"/>
        </w:numPr>
        <w:rPr>
          <w:rFonts w:ascii="Times New Roman"/>
          <w:szCs w:val="22"/>
        </w:rPr>
      </w:pPr>
      <w:r>
        <w:rPr>
          <w:rFonts w:hint="eastAsia" w:ascii="Times New Roman"/>
          <w:szCs w:val="22"/>
        </w:rPr>
        <w:t>对站房主体、浮船船体、浮标标体进行全面养护；</w:t>
      </w:r>
    </w:p>
    <w:p>
      <w:pPr>
        <w:pStyle w:val="46"/>
        <w:numPr>
          <w:ilvl w:val="0"/>
          <w:numId w:val="8"/>
        </w:numPr>
        <w:rPr>
          <w:rFonts w:ascii="Times New Roman"/>
          <w:szCs w:val="22"/>
        </w:rPr>
      </w:pPr>
      <w:r>
        <w:rPr>
          <w:rFonts w:hint="eastAsia" w:ascii="Times New Roman"/>
          <w:szCs w:val="22"/>
        </w:rPr>
        <w:t>对温控设备和保温设施进行专业保养维护；</w:t>
      </w:r>
    </w:p>
    <w:p>
      <w:pPr>
        <w:pStyle w:val="46"/>
        <w:numPr>
          <w:ilvl w:val="0"/>
          <w:numId w:val="8"/>
        </w:numPr>
        <w:rPr>
          <w:rFonts w:ascii="Times New Roman"/>
          <w:szCs w:val="22"/>
        </w:rPr>
      </w:pPr>
      <w:r>
        <w:rPr>
          <w:rFonts w:hint="eastAsia" w:ascii="Times New Roman"/>
          <w:szCs w:val="22"/>
        </w:rPr>
        <w:t>委托专业机构对防雷设施进行年检，并出具相关报告；</w:t>
      </w:r>
    </w:p>
    <w:p>
      <w:pPr>
        <w:pStyle w:val="46"/>
        <w:numPr>
          <w:ilvl w:val="0"/>
          <w:numId w:val="8"/>
        </w:numPr>
        <w:rPr>
          <w:rFonts w:ascii="Times New Roman"/>
          <w:szCs w:val="22"/>
        </w:rPr>
      </w:pPr>
      <w:r>
        <w:rPr>
          <w:rFonts w:hint="eastAsia" w:ascii="Times New Roman"/>
          <w:szCs w:val="22"/>
        </w:rPr>
        <w:t>对监测仪器的检测器光源、电极、计量装置传感器以及加热装置和温控装置等关键零部件工作状态进行检查，及时进行维修或更换，维修或更换后应重新对监测仪器进行校准并做好记录；</w:t>
      </w:r>
    </w:p>
    <w:p>
      <w:pPr>
        <w:pStyle w:val="46"/>
        <w:numPr>
          <w:ilvl w:val="0"/>
          <w:numId w:val="8"/>
        </w:numPr>
        <w:rPr>
          <w:rFonts w:ascii="Times New Roman"/>
          <w:szCs w:val="22"/>
        </w:rPr>
      </w:pPr>
      <w:r>
        <w:rPr>
          <w:rFonts w:hint="eastAsia" w:ascii="Times New Roman"/>
          <w:szCs w:val="22"/>
        </w:rPr>
        <w:t>对采配水管路进行全面检查，检查采配水管路和接头是否老化、漏水，保温材料是否破损，出现老化、漏水或破损时应及时更换。</w:t>
      </w:r>
    </w:p>
    <w:p>
      <w:pPr>
        <w:pStyle w:val="21"/>
        <w:numPr>
          <w:ilvl w:val="2"/>
          <w:numId w:val="3"/>
        </w:numPr>
        <w:spacing w:before="156" w:after="156"/>
      </w:pPr>
      <w:bookmarkStart w:id="55" w:name="_Toc13205"/>
      <w:bookmarkStart w:id="56" w:name="_Toc31188"/>
      <w:r>
        <w:rPr>
          <w:rFonts w:hint="eastAsia"/>
        </w:rPr>
        <w:t>应急维护</w:t>
      </w:r>
      <w:bookmarkEnd w:id="55"/>
      <w:bookmarkEnd w:id="56"/>
    </w:p>
    <w:p>
      <w:pPr>
        <w:pStyle w:val="42"/>
        <w:numPr>
          <w:ilvl w:val="3"/>
          <w:numId w:val="3"/>
        </w:numPr>
        <w:rPr>
          <w:b/>
          <w:bCs/>
        </w:rPr>
      </w:pPr>
      <w:r>
        <w:rPr>
          <w:rFonts w:hint="eastAsia"/>
          <w:b/>
          <w:bCs/>
        </w:rPr>
        <w:t>异常情况维护</w:t>
      </w:r>
    </w:p>
    <w:p>
      <w:pPr>
        <w:pStyle w:val="23"/>
        <w:rPr>
          <w:rFonts w:ascii="Times New Roman"/>
          <w:szCs w:val="22"/>
        </w:rPr>
      </w:pPr>
      <w:r>
        <w:rPr>
          <w:rFonts w:hint="eastAsia" w:ascii="Times New Roman"/>
          <w:szCs w:val="22"/>
        </w:rPr>
        <w:t>发现地表水自动监测站监测数据中断、监测数据长时间不变、短时间突变以及水质类别发生明显变化时，运维人员应前往现场进行下列维护工作：</w:t>
      </w:r>
    </w:p>
    <w:p>
      <w:pPr>
        <w:pStyle w:val="46"/>
        <w:numPr>
          <w:ilvl w:val="0"/>
          <w:numId w:val="9"/>
        </w:numPr>
        <w:rPr>
          <w:rFonts w:ascii="Times New Roman"/>
          <w:szCs w:val="22"/>
        </w:rPr>
      </w:pPr>
      <w:r>
        <w:rPr>
          <w:rFonts w:hint="eastAsia" w:ascii="Times New Roman"/>
          <w:szCs w:val="22"/>
        </w:rPr>
        <w:t>若为仪器或系统故障，应在</w:t>
      </w:r>
      <w:r>
        <w:rPr>
          <w:rStyle w:val="18"/>
          <w:rFonts w:hint="eastAsia" w:ascii="Calibri" w:hAnsi="Calibri"/>
          <w:kern w:val="2"/>
        </w:rPr>
        <w:t>4</w:t>
      </w:r>
      <w:r>
        <w:rPr>
          <w:rFonts w:hint="eastAsia" w:ascii="Times New Roman"/>
          <w:szCs w:val="22"/>
        </w:rPr>
        <w:t>8 h内排除故障或使用备机恢复地表水自动监测站正常运行，在48 h内无法排除故障且无法使用备机运行的应及时报备，同时开展人工补测，人工补测每周应至少完成两次，且间隔时间48 h以上，并符合下列要求：</w:t>
      </w:r>
    </w:p>
    <w:p>
      <w:pPr>
        <w:pStyle w:val="46"/>
        <w:numPr>
          <w:ilvl w:val="0"/>
          <w:numId w:val="0"/>
        </w:numPr>
        <w:ind w:left="420" w:firstLine="420" w:firstLineChars="200"/>
        <w:rPr>
          <w:rFonts w:hint="eastAsia" w:hAnsi="宋体"/>
          <w:szCs w:val="22"/>
        </w:rPr>
      </w:pPr>
      <w:r>
        <w:rPr>
          <w:rFonts w:hint="eastAsia" w:hAnsi="宋体"/>
          <w:szCs w:val="22"/>
        </w:rPr>
        <w:t>①补测尽量在采水口原位取水，因客观原因无法采水口原位取水的，应说明原因并注明取水地点；</w:t>
      </w:r>
    </w:p>
    <w:p>
      <w:pPr>
        <w:pStyle w:val="46"/>
        <w:numPr>
          <w:ilvl w:val="0"/>
          <w:numId w:val="0"/>
        </w:numPr>
        <w:ind w:left="420" w:firstLine="420" w:firstLineChars="200"/>
        <w:rPr>
          <w:rFonts w:hint="eastAsia" w:hAnsi="宋体"/>
          <w:szCs w:val="22"/>
        </w:rPr>
      </w:pPr>
      <w:r>
        <w:rPr>
          <w:rFonts w:hint="eastAsia" w:hAnsi="宋体"/>
          <w:szCs w:val="22"/>
        </w:rPr>
        <w:t>②常规五参数、石油类、叶绿素a和藻密度应使用通过计量检定或校准的便携式仪器在现场补测，高锰酸盐指数、氨氮、总磷、总氮、化学需氧量</w:t>
      </w:r>
      <w:r>
        <w:rPr>
          <w:rFonts w:hint="eastAsia" w:ascii="Times New Roman"/>
          <w:szCs w:val="22"/>
        </w:rPr>
        <w:t>（COD</w:t>
      </w:r>
      <w:r>
        <w:rPr>
          <w:rFonts w:hint="eastAsia" w:ascii="Times New Roman"/>
          <w:szCs w:val="22"/>
          <w:vertAlign w:val="subscript"/>
        </w:rPr>
        <w:t>Cr</w:t>
      </w:r>
      <w:r>
        <w:rPr>
          <w:rFonts w:hint="eastAsia" w:ascii="Times New Roman"/>
          <w:szCs w:val="22"/>
        </w:rPr>
        <w:t>）</w:t>
      </w:r>
      <w:r>
        <w:rPr>
          <w:rFonts w:hint="eastAsia" w:hAnsi="宋体"/>
          <w:szCs w:val="22"/>
        </w:rPr>
        <w:t>、挥发酚、重金属可使用现场满足质控要求的仪器进行补测，也可送具有CMA资质的实验室进行补测；</w:t>
      </w:r>
    </w:p>
    <w:p>
      <w:pPr>
        <w:pStyle w:val="46"/>
        <w:numPr>
          <w:ilvl w:val="0"/>
          <w:numId w:val="0"/>
        </w:numPr>
        <w:ind w:left="420" w:firstLine="420" w:firstLineChars="200"/>
        <w:rPr>
          <w:rFonts w:hint="eastAsia" w:hAnsi="宋体"/>
          <w:szCs w:val="22"/>
        </w:rPr>
      </w:pPr>
      <w:r>
        <w:rPr>
          <w:rFonts w:hint="eastAsia" w:hAnsi="宋体"/>
          <w:szCs w:val="22"/>
        </w:rPr>
        <w:t>③瞬时流速和流向应使用符合水文测验规范要求的设备进行补测；</w:t>
      </w:r>
    </w:p>
    <w:p>
      <w:pPr>
        <w:pStyle w:val="46"/>
        <w:numPr>
          <w:ilvl w:val="0"/>
          <w:numId w:val="0"/>
        </w:numPr>
        <w:ind w:left="420" w:firstLine="420" w:firstLineChars="200"/>
        <w:rPr>
          <w:rFonts w:hint="eastAsia" w:hAnsi="宋体"/>
          <w:szCs w:val="22"/>
        </w:rPr>
      </w:pPr>
      <w:r>
        <w:rPr>
          <w:rFonts w:hint="eastAsia" w:hAnsi="宋体"/>
          <w:szCs w:val="22"/>
        </w:rPr>
        <w:t>④补测数据应及时提交并完成审核；</w:t>
      </w:r>
    </w:p>
    <w:p>
      <w:pPr>
        <w:pStyle w:val="46"/>
        <w:numPr>
          <w:ilvl w:val="0"/>
          <w:numId w:val="0"/>
        </w:numPr>
        <w:ind w:left="420" w:firstLine="420" w:firstLineChars="200"/>
        <w:rPr>
          <w:rFonts w:hint="eastAsia" w:hAnsi="宋体"/>
          <w:szCs w:val="22"/>
        </w:rPr>
      </w:pPr>
      <w:r>
        <w:rPr>
          <w:rFonts w:hint="eastAsia" w:hAnsi="宋体"/>
          <w:szCs w:val="22"/>
        </w:rPr>
        <w:t>⑤因不可抗力无法到达现场，或因河道断流无法采样时，可不进行人工补测，但应提交相关佐证材料。</w:t>
      </w:r>
    </w:p>
    <w:p>
      <w:pPr>
        <w:pStyle w:val="46"/>
        <w:numPr>
          <w:ilvl w:val="0"/>
          <w:numId w:val="9"/>
        </w:numPr>
        <w:rPr>
          <w:rFonts w:ascii="Times New Roman"/>
          <w:szCs w:val="22"/>
        </w:rPr>
      </w:pPr>
      <w:r>
        <w:rPr>
          <w:rFonts w:hint="eastAsia" w:ascii="Times New Roman"/>
          <w:szCs w:val="22"/>
        </w:rPr>
        <w:t>若为水质结果异常时，应及时向数据审核人员反馈，并提交相关佐证材料。</w:t>
      </w:r>
    </w:p>
    <w:p>
      <w:pPr>
        <w:pStyle w:val="42"/>
        <w:numPr>
          <w:ilvl w:val="3"/>
          <w:numId w:val="3"/>
        </w:numPr>
        <w:rPr>
          <w:b/>
          <w:bCs/>
        </w:rPr>
      </w:pPr>
      <w:r>
        <w:rPr>
          <w:rFonts w:hint="eastAsia"/>
          <w:b/>
          <w:bCs/>
        </w:rPr>
        <w:t>停运维护</w:t>
      </w:r>
    </w:p>
    <w:p>
      <w:pPr>
        <w:pStyle w:val="23"/>
        <w:rPr>
          <w:rFonts w:ascii="Times New Roman"/>
          <w:szCs w:val="22"/>
        </w:rPr>
      </w:pPr>
      <w:r>
        <w:rPr>
          <w:rFonts w:hint="eastAsia" w:ascii="Times New Roman"/>
          <w:szCs w:val="22"/>
        </w:rPr>
        <w:t>因自然灾害等不可抗力因素影响地表水自动监测站正常运行的，可申请停运，应提交停运申请，并上传佐证材料。停运期间应进行下列维护工作：</w:t>
      </w:r>
    </w:p>
    <w:p>
      <w:pPr>
        <w:pStyle w:val="46"/>
        <w:numPr>
          <w:ilvl w:val="0"/>
          <w:numId w:val="10"/>
        </w:numPr>
        <w:rPr>
          <w:rFonts w:ascii="Times New Roman"/>
          <w:szCs w:val="22"/>
        </w:rPr>
      </w:pPr>
      <w:r>
        <w:rPr>
          <w:rFonts w:hint="eastAsia" w:ascii="Times New Roman"/>
          <w:szCs w:val="22"/>
        </w:rPr>
        <w:t>现场应放置停运标识牌，并做好停运期间仪器设备及站房辅助设施的维护保养；</w:t>
      </w:r>
    </w:p>
    <w:p>
      <w:pPr>
        <w:pStyle w:val="46"/>
        <w:numPr>
          <w:ilvl w:val="0"/>
          <w:numId w:val="10"/>
        </w:numPr>
        <w:rPr>
          <w:rFonts w:ascii="Times New Roman"/>
          <w:szCs w:val="22"/>
        </w:rPr>
      </w:pPr>
      <w:r>
        <w:rPr>
          <w:rFonts w:hint="eastAsia" w:ascii="Times New Roman"/>
          <w:szCs w:val="22"/>
        </w:rPr>
        <w:t>每周至少进行一次现场巡检维护，当现场条件满足运行要求时，应及时恢复地表水自动监测站运行。</w:t>
      </w:r>
    </w:p>
    <w:p>
      <w:pPr>
        <w:pStyle w:val="22"/>
        <w:numPr>
          <w:ilvl w:val="1"/>
          <w:numId w:val="3"/>
        </w:numPr>
        <w:spacing w:before="156" w:after="156"/>
        <w:ind w:left="0"/>
      </w:pPr>
      <w:r>
        <w:rPr>
          <w:rFonts w:hint="eastAsia"/>
        </w:rPr>
        <w:t>运行维护频次</w:t>
      </w:r>
    </w:p>
    <w:p>
      <w:pPr>
        <w:pStyle w:val="46"/>
        <w:numPr>
          <w:ilvl w:val="0"/>
          <w:numId w:val="0"/>
        </w:numPr>
        <w:ind w:left="839" w:hanging="419"/>
        <w:rPr>
          <w:rFonts w:hint="eastAsia" w:hAnsi="宋体"/>
          <w:szCs w:val="22"/>
        </w:rPr>
      </w:pPr>
      <w:r>
        <w:rPr>
          <w:rFonts w:hint="eastAsia" w:hAnsi="宋体"/>
          <w:szCs w:val="22"/>
        </w:rPr>
        <w:t>a)  远程维护频次应不少于每日一次；</w:t>
      </w:r>
    </w:p>
    <w:p>
      <w:pPr>
        <w:pStyle w:val="46"/>
        <w:numPr>
          <w:ilvl w:val="0"/>
          <w:numId w:val="0"/>
        </w:numPr>
        <w:ind w:left="839" w:hanging="419"/>
        <w:rPr>
          <w:rFonts w:hint="eastAsia" w:hAnsi="宋体"/>
          <w:szCs w:val="22"/>
        </w:rPr>
      </w:pPr>
      <w:r>
        <w:rPr>
          <w:rFonts w:hint="eastAsia" w:hAnsi="宋体"/>
          <w:szCs w:val="22"/>
        </w:rPr>
        <w:t>b)  现场巡检维护频次应不少于每周一次（浮船和浮标站应不少于两周一次）；</w:t>
      </w:r>
    </w:p>
    <w:p>
      <w:pPr>
        <w:pStyle w:val="46"/>
        <w:numPr>
          <w:ilvl w:val="0"/>
          <w:numId w:val="0"/>
        </w:numPr>
        <w:ind w:left="839" w:hanging="419"/>
        <w:rPr>
          <w:rFonts w:hint="eastAsia" w:hAnsi="宋体"/>
          <w:szCs w:val="22"/>
        </w:rPr>
      </w:pPr>
      <w:r>
        <w:rPr>
          <w:rFonts w:hint="eastAsia" w:hAnsi="宋体"/>
          <w:szCs w:val="22"/>
        </w:rPr>
        <w:t>c)  保养维护频次应不少于每年一次；</w:t>
      </w:r>
    </w:p>
    <w:p>
      <w:pPr>
        <w:pStyle w:val="46"/>
        <w:numPr>
          <w:ilvl w:val="0"/>
          <w:numId w:val="0"/>
        </w:numPr>
        <w:ind w:left="839" w:hanging="419"/>
        <w:rPr>
          <w:rFonts w:ascii="Times New Roman"/>
          <w:szCs w:val="22"/>
        </w:rPr>
      </w:pPr>
      <w:r>
        <w:rPr>
          <w:rFonts w:hint="eastAsia" w:hAnsi="宋体"/>
          <w:szCs w:val="22"/>
        </w:rPr>
        <w:t>d)  应急维护根据需要随时开展。</w:t>
      </w:r>
    </w:p>
    <w:bookmarkEnd w:id="48"/>
    <w:bookmarkEnd w:id="49"/>
    <w:bookmarkEnd w:id="50"/>
    <w:p>
      <w:pPr>
        <w:pStyle w:val="32"/>
        <w:numPr>
          <w:ilvl w:val="0"/>
          <w:numId w:val="3"/>
        </w:numPr>
        <w:spacing w:before="312" w:after="312"/>
      </w:pPr>
      <w:bookmarkStart w:id="57" w:name="_Toc20562"/>
      <w:r>
        <w:rPr>
          <w:rFonts w:hint="eastAsia"/>
        </w:rPr>
        <w:t>质量保证与质量控制</w:t>
      </w:r>
      <w:bookmarkEnd w:id="57"/>
    </w:p>
    <w:p>
      <w:pPr>
        <w:pStyle w:val="22"/>
        <w:numPr>
          <w:ilvl w:val="1"/>
          <w:numId w:val="3"/>
        </w:numPr>
        <w:spacing w:before="156" w:after="156"/>
        <w:ind w:left="0"/>
      </w:pPr>
      <w:bookmarkStart w:id="58" w:name="_Toc10723"/>
      <w:bookmarkStart w:id="59" w:name="_Toc27339"/>
      <w:r>
        <w:rPr>
          <w:rFonts w:hint="eastAsia"/>
        </w:rPr>
        <w:t>质量保证</w:t>
      </w:r>
      <w:bookmarkEnd w:id="58"/>
      <w:bookmarkEnd w:id="59"/>
    </w:p>
    <w:p>
      <w:pPr>
        <w:pStyle w:val="23"/>
        <w:rPr>
          <w:rFonts w:ascii="Times New Roman"/>
          <w:szCs w:val="22"/>
        </w:rPr>
      </w:pPr>
      <w:r>
        <w:rPr>
          <w:rFonts w:hint="eastAsia" w:ascii="Times New Roman"/>
          <w:szCs w:val="22"/>
        </w:rPr>
        <w:t>质量保证应满足下列要求：</w:t>
      </w:r>
    </w:p>
    <w:p>
      <w:pPr>
        <w:pStyle w:val="46"/>
        <w:numPr>
          <w:ilvl w:val="0"/>
          <w:numId w:val="11"/>
        </w:numPr>
        <w:rPr>
          <w:rFonts w:ascii="Times New Roman"/>
          <w:szCs w:val="22"/>
        </w:rPr>
      </w:pPr>
      <w:r>
        <w:rPr>
          <w:rFonts w:hint="eastAsia" w:ascii="Times New Roman"/>
          <w:szCs w:val="22"/>
        </w:rPr>
        <w:t>运维单位应建立质量管理体系，制定并完善运维管理制度、运维作业指导书及质控程序文件等；</w:t>
      </w:r>
    </w:p>
    <w:p>
      <w:pPr>
        <w:pStyle w:val="46"/>
        <w:numPr>
          <w:ilvl w:val="0"/>
          <w:numId w:val="11"/>
        </w:numPr>
        <w:rPr>
          <w:rFonts w:ascii="Times New Roman"/>
          <w:szCs w:val="22"/>
        </w:rPr>
      </w:pPr>
      <w:r>
        <w:rPr>
          <w:rFonts w:hint="eastAsia" w:ascii="Times New Roman"/>
          <w:szCs w:val="22"/>
        </w:rPr>
        <w:t>运维人员应经培训合格取得上岗证后方可独立完成地表水自动监测站运行维护工作；</w:t>
      </w:r>
    </w:p>
    <w:p>
      <w:pPr>
        <w:pStyle w:val="46"/>
        <w:numPr>
          <w:ilvl w:val="0"/>
          <w:numId w:val="11"/>
        </w:numPr>
        <w:rPr>
          <w:rFonts w:ascii="Times New Roman"/>
          <w:szCs w:val="22"/>
        </w:rPr>
      </w:pPr>
      <w:r>
        <w:rPr>
          <w:rFonts w:hint="eastAsia" w:ascii="Times New Roman"/>
          <w:szCs w:val="22"/>
        </w:rPr>
        <w:t>站房内温度应控制在</w:t>
      </w:r>
      <w:r>
        <w:rPr>
          <w:rFonts w:ascii="Times New Roman"/>
          <w:szCs w:val="22"/>
        </w:rPr>
        <w:t>18</w:t>
      </w:r>
      <w:r>
        <w:rPr>
          <w:rFonts w:hint="eastAsia" w:ascii="Times New Roman"/>
          <w:szCs w:val="22"/>
        </w:rPr>
        <w:t xml:space="preserve"> </w:t>
      </w:r>
      <w:r>
        <w:rPr>
          <w:rFonts w:ascii="Times New Roman"/>
          <w:szCs w:val="22"/>
        </w:rPr>
        <w:t>℃～28</w:t>
      </w:r>
      <w:r>
        <w:rPr>
          <w:rFonts w:hint="eastAsia" w:ascii="Times New Roman"/>
          <w:szCs w:val="22"/>
        </w:rPr>
        <w:t xml:space="preserve"> </w:t>
      </w:r>
      <w:r>
        <w:rPr>
          <w:rFonts w:ascii="Times New Roman"/>
          <w:szCs w:val="22"/>
        </w:rPr>
        <w:t>℃</w:t>
      </w:r>
      <w:r>
        <w:rPr>
          <w:rFonts w:hint="eastAsia" w:ascii="Times New Roman"/>
          <w:szCs w:val="22"/>
        </w:rPr>
        <w:t>，</w:t>
      </w:r>
      <w:r>
        <w:rPr>
          <w:rFonts w:ascii="Times New Roman"/>
          <w:szCs w:val="22"/>
        </w:rPr>
        <w:t>相对湿度</w:t>
      </w:r>
      <w:r>
        <w:rPr>
          <w:rFonts w:hint="eastAsia" w:ascii="Times New Roman"/>
          <w:szCs w:val="22"/>
        </w:rPr>
        <w:t>不大于</w:t>
      </w:r>
      <w:r>
        <w:rPr>
          <w:rFonts w:ascii="Times New Roman"/>
          <w:szCs w:val="22"/>
        </w:rPr>
        <w:t>60</w:t>
      </w:r>
      <w:r>
        <w:rPr>
          <w:rFonts w:hint="eastAsia" w:ascii="Times New Roman"/>
          <w:szCs w:val="22"/>
        </w:rPr>
        <w:t xml:space="preserve"> </w:t>
      </w:r>
      <w:r>
        <w:rPr>
          <w:rFonts w:ascii="Times New Roman"/>
          <w:szCs w:val="22"/>
        </w:rPr>
        <w:t>%</w:t>
      </w:r>
      <w:r>
        <w:rPr>
          <w:rFonts w:hint="eastAsia" w:ascii="Times New Roman"/>
          <w:szCs w:val="22"/>
        </w:rPr>
        <w:t>；</w:t>
      </w:r>
    </w:p>
    <w:p>
      <w:pPr>
        <w:pStyle w:val="46"/>
        <w:numPr>
          <w:ilvl w:val="0"/>
          <w:numId w:val="11"/>
        </w:numPr>
        <w:rPr>
          <w:rFonts w:ascii="Times New Roman"/>
          <w:szCs w:val="22"/>
        </w:rPr>
      </w:pPr>
      <w:r>
        <w:rPr>
          <w:rFonts w:ascii="Times New Roman"/>
          <w:szCs w:val="22"/>
        </w:rPr>
        <w:t>采水口位置应维持在水下0.5</w:t>
      </w:r>
      <w:r>
        <w:rPr>
          <w:rFonts w:hint="eastAsia" w:ascii="Times New Roman"/>
          <w:szCs w:val="22"/>
        </w:rPr>
        <w:t xml:space="preserve"> </w:t>
      </w:r>
      <w:r>
        <w:rPr>
          <w:rFonts w:ascii="Times New Roman"/>
          <w:szCs w:val="22"/>
        </w:rPr>
        <w:t>m～1.0</w:t>
      </w:r>
      <w:r>
        <w:rPr>
          <w:rFonts w:hint="eastAsia" w:ascii="Times New Roman"/>
          <w:szCs w:val="22"/>
        </w:rPr>
        <w:t xml:space="preserve"> </w:t>
      </w:r>
      <w:r>
        <w:rPr>
          <w:rFonts w:ascii="Times New Roman"/>
          <w:szCs w:val="22"/>
        </w:rPr>
        <w:t>m，特殊的采水方式应备案说明；</w:t>
      </w:r>
    </w:p>
    <w:p>
      <w:pPr>
        <w:pStyle w:val="46"/>
        <w:numPr>
          <w:ilvl w:val="0"/>
          <w:numId w:val="11"/>
        </w:numPr>
        <w:rPr>
          <w:rFonts w:ascii="Times New Roman"/>
          <w:szCs w:val="22"/>
        </w:rPr>
      </w:pPr>
      <w:r>
        <w:rPr>
          <w:rFonts w:hint="eastAsia" w:ascii="Times New Roman"/>
          <w:szCs w:val="22"/>
        </w:rPr>
        <w:t>监测仪器使用的试剂应由仪器厂家或具备CMA资质的实验室配制，试剂配制及配送过程可溯源，试剂应及时进行更换，保证在有效期内使用，更换试剂后应及时对仪器进行校准；</w:t>
      </w:r>
    </w:p>
    <w:p>
      <w:pPr>
        <w:pStyle w:val="46"/>
        <w:numPr>
          <w:ilvl w:val="0"/>
          <w:numId w:val="11"/>
        </w:numPr>
        <w:rPr>
          <w:rFonts w:ascii="Times New Roman"/>
          <w:szCs w:val="22"/>
        </w:rPr>
      </w:pPr>
      <w:r>
        <w:rPr>
          <w:rFonts w:hint="eastAsia" w:ascii="Times New Roman"/>
          <w:szCs w:val="22"/>
        </w:rPr>
        <w:t>对采配水及预处理设施进行维修或更换后，应及时开展集成影响检查；</w:t>
      </w:r>
    </w:p>
    <w:p>
      <w:pPr>
        <w:pStyle w:val="46"/>
        <w:numPr>
          <w:ilvl w:val="0"/>
          <w:numId w:val="11"/>
        </w:numPr>
        <w:rPr>
          <w:rFonts w:ascii="Times New Roman"/>
          <w:szCs w:val="22"/>
        </w:rPr>
      </w:pPr>
      <w:r>
        <w:rPr>
          <w:rFonts w:hint="eastAsia" w:ascii="Times New Roman"/>
          <w:szCs w:val="22"/>
        </w:rPr>
        <w:t>运维单位应建立备机和备品备件库，备机应通过验收并定期开展标准溶液核查，备品备件应达到或高于原厂备品备件的性能，更换备机或关键备品备件后，应及时校准仪器，并完成多点线性核查；</w:t>
      </w:r>
    </w:p>
    <w:p>
      <w:pPr>
        <w:pStyle w:val="46"/>
        <w:numPr>
          <w:ilvl w:val="0"/>
          <w:numId w:val="11"/>
        </w:numPr>
        <w:rPr>
          <w:rFonts w:ascii="Times New Roman"/>
          <w:szCs w:val="22"/>
        </w:rPr>
      </w:pPr>
      <w:r>
        <w:rPr>
          <w:rFonts w:hint="eastAsia" w:ascii="Times New Roman"/>
          <w:szCs w:val="22"/>
        </w:rPr>
        <w:t>pH电极至少每月进行一次两点校准，溶解氧电极至少每月进行一次饱和空气校准，若水体溶解氧劣于V类或饱和度低于10 %，应进行零点校准；</w:t>
      </w:r>
    </w:p>
    <w:p>
      <w:pPr>
        <w:pStyle w:val="46"/>
        <w:numPr>
          <w:ilvl w:val="0"/>
          <w:numId w:val="11"/>
        </w:numPr>
        <w:rPr>
          <w:rFonts w:ascii="Times New Roman"/>
          <w:szCs w:val="22"/>
        </w:rPr>
      </w:pPr>
      <w:r>
        <w:rPr>
          <w:rFonts w:hint="eastAsia" w:ascii="Times New Roman"/>
          <w:szCs w:val="22"/>
        </w:rPr>
        <w:t>电导率、浊度电极至少每季度进行一次校准，对监测仪器斜率k、截距b、消解温度、消解时间、显色时间等关键参数信息应及时备案，变更时应提交书面申请。</w:t>
      </w:r>
    </w:p>
    <w:p>
      <w:pPr>
        <w:pStyle w:val="22"/>
        <w:numPr>
          <w:ilvl w:val="1"/>
          <w:numId w:val="3"/>
        </w:numPr>
        <w:spacing w:before="156" w:after="156"/>
        <w:ind w:left="0"/>
      </w:pPr>
      <w:bookmarkStart w:id="60" w:name="_Toc1032"/>
      <w:bookmarkStart w:id="61" w:name="_Toc27686"/>
      <w:r>
        <w:rPr>
          <w:rFonts w:hint="eastAsia"/>
        </w:rPr>
        <w:t>质量控制</w:t>
      </w:r>
      <w:bookmarkEnd w:id="60"/>
      <w:bookmarkEnd w:id="61"/>
    </w:p>
    <w:p>
      <w:pPr>
        <w:pStyle w:val="21"/>
        <w:numPr>
          <w:ilvl w:val="2"/>
          <w:numId w:val="3"/>
        </w:numPr>
        <w:spacing w:before="156" w:after="156"/>
      </w:pPr>
      <w:r>
        <w:rPr>
          <w:rFonts w:hint="eastAsia"/>
        </w:rPr>
        <w:t>总体要求</w:t>
      </w:r>
    </w:p>
    <w:p>
      <w:pPr>
        <w:pStyle w:val="21"/>
        <w:numPr>
          <w:ilvl w:val="2"/>
          <w:numId w:val="3"/>
        </w:numPr>
        <w:spacing w:before="156" w:after="156"/>
      </w:pPr>
      <w:r>
        <w:rPr>
          <w:rFonts w:hint="eastAsia"/>
        </w:rPr>
        <w:t>质量控制方法</w:t>
      </w:r>
    </w:p>
    <w:p>
      <w:pPr>
        <w:pStyle w:val="42"/>
        <w:numPr>
          <w:ilvl w:val="3"/>
          <w:numId w:val="3"/>
        </w:numPr>
        <w:rPr>
          <w:rFonts w:ascii="Times New Roman"/>
        </w:rPr>
      </w:pPr>
      <w:r>
        <w:rPr>
          <w:rFonts w:hint="eastAsia" w:ascii="Times New Roman"/>
          <w:szCs w:val="22"/>
        </w:rPr>
        <w:t>低浓度标准标样核查和24 h漂移</w:t>
      </w:r>
    </w:p>
    <w:p>
      <w:pPr>
        <w:pStyle w:val="23"/>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）、重金属（铜、铅、锌、镉、锑、铊）水质自动监测仪器每日自动测试1次标样核查上限值0~20 %范围内的标准溶液，计算测定结果相对于标准溶液质量浓度的绝对误差和计算测试值24 h前后的变化幅度相对于标样核查上限值的百分比。操作及结果计算方法见附录A.1。</w:t>
      </w:r>
    </w:p>
    <w:p>
      <w:pPr>
        <w:pStyle w:val="42"/>
        <w:numPr>
          <w:ilvl w:val="3"/>
          <w:numId w:val="3"/>
        </w:numPr>
        <w:rPr>
          <w:rFonts w:ascii="Times New Roman"/>
        </w:rPr>
      </w:pPr>
      <w:r>
        <w:rPr>
          <w:rFonts w:hint="eastAsia" w:ascii="Times New Roman"/>
          <w:szCs w:val="22"/>
        </w:rPr>
        <w:t>高浓度标准标样核查和24 h漂移</w:t>
      </w:r>
    </w:p>
    <w:p>
      <w:pPr>
        <w:pStyle w:val="23"/>
        <w:rPr>
          <w:rFonts w:ascii="Times New Roman"/>
          <w:szCs w:val="22"/>
        </w:rPr>
      </w:pPr>
      <w:r>
        <w:rPr>
          <w:rFonts w:hint="eastAsia" w:ascii="Times New Roman"/>
          <w:szCs w:val="22"/>
        </w:rPr>
        <w:t>化学需氧量</w:t>
      </w:r>
      <w:bookmarkStart w:id="62" w:name="_Hlk213004887"/>
      <w:r>
        <w:rPr>
          <w:rFonts w:hint="eastAsia" w:ascii="Times New Roman"/>
          <w:szCs w:val="22"/>
        </w:rPr>
        <w:t>（COD</w:t>
      </w:r>
      <w:r>
        <w:rPr>
          <w:rFonts w:hint="eastAsia" w:ascii="Times New Roman"/>
          <w:szCs w:val="22"/>
          <w:vertAlign w:val="subscript"/>
        </w:rPr>
        <w:t>Cr</w:t>
      </w:r>
      <w:r>
        <w:rPr>
          <w:rFonts w:hint="eastAsia" w:ascii="Times New Roman"/>
          <w:szCs w:val="22"/>
        </w:rPr>
        <w:t>）</w:t>
      </w:r>
      <w:bookmarkEnd w:id="62"/>
      <w:r>
        <w:rPr>
          <w:rFonts w:hint="eastAsia" w:ascii="Times New Roman"/>
          <w:szCs w:val="22"/>
        </w:rPr>
        <w:t>、重金属（铜、铅、锌、镉、锑、铊）水质自动监测仪器每日自动测试1次标样核查上限值80%左右内的标准溶液，计算测定结果相对于标准溶液质量浓度的绝对误差和计算测试值24 h前后的变化幅度相对于标样核查上限值的百分比。操作及结果计算方法见附录A.2。</w:t>
      </w:r>
    </w:p>
    <w:p>
      <w:pPr>
        <w:pStyle w:val="42"/>
        <w:numPr>
          <w:ilvl w:val="3"/>
          <w:numId w:val="3"/>
        </w:numPr>
        <w:rPr>
          <w:rFonts w:ascii="Times New Roman"/>
        </w:rPr>
      </w:pPr>
      <w:r>
        <w:rPr>
          <w:rFonts w:hint="eastAsia" w:ascii="Times New Roman"/>
        </w:rPr>
        <w:t>标准溶液核查</w:t>
      </w:r>
    </w:p>
    <w:p>
      <w:pPr>
        <w:pStyle w:val="23"/>
        <w:rPr>
          <w:rFonts w:ascii="Times New Roman"/>
          <w:szCs w:val="22"/>
        </w:rPr>
      </w:pPr>
      <w:r>
        <w:rPr>
          <w:rFonts w:hint="eastAsia" w:ascii="Times New Roman"/>
          <w:szCs w:val="22"/>
        </w:rPr>
        <w:t>标准溶液核查分为单点核查和两点核查，标准溶液核查应按下列规定执行：</w:t>
      </w:r>
    </w:p>
    <w:p>
      <w:pPr>
        <w:pStyle w:val="46"/>
        <w:numPr>
          <w:ilvl w:val="0"/>
          <w:numId w:val="12"/>
        </w:numPr>
        <w:rPr>
          <w:rFonts w:ascii="Times New Roman"/>
          <w:szCs w:val="22"/>
        </w:rPr>
      </w:pPr>
      <w:bookmarkStart w:id="63" w:name="OLE_LINK6"/>
      <w:r>
        <w:rPr>
          <w:rFonts w:hint="eastAsia" w:ascii="Times New Roman"/>
          <w:szCs w:val="22"/>
        </w:rPr>
        <w:t>重金属（铜、锌、铅、镉、锑、铊）实行单点核查：重金属未超标时采用校准曲线中间点的标准物质；超标时采用标准限值浓度附近的标准物质。操作及结果计算方法见附录A.3。</w:t>
      </w:r>
    </w:p>
    <w:p>
      <w:pPr>
        <w:pStyle w:val="46"/>
        <w:numPr>
          <w:ilvl w:val="0"/>
          <w:numId w:val="12"/>
        </w:numPr>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）实行两点核查，分别为零点核查和跨度核查：当水质类别为</w:t>
      </w:r>
      <w:r>
        <w:rPr>
          <w:rFonts w:hint="eastAsia" w:ascii="仿宋_GB2312" w:hAnsi="仿宋_GB2312" w:eastAsia="仿宋_GB2312" w:cs="仿宋_GB2312"/>
          <w:szCs w:val="22"/>
        </w:rPr>
        <w:t>Ⅰ</w:t>
      </w:r>
      <w:r>
        <w:rPr>
          <w:rFonts w:hint="eastAsia" w:hAnsi="宋体" w:cs="宋体"/>
          <w:szCs w:val="22"/>
        </w:rPr>
        <w:t>～</w:t>
      </w:r>
      <w:r>
        <w:rPr>
          <w:rFonts w:hint="eastAsia" w:ascii="仿宋_GB2312" w:hAnsi="仿宋_GB2312" w:eastAsia="仿宋_GB2312" w:cs="仿宋_GB2312"/>
          <w:szCs w:val="22"/>
        </w:rPr>
        <w:t>Ⅲ</w:t>
      </w:r>
      <w:r>
        <w:rPr>
          <w:rFonts w:hint="eastAsia" w:ascii="Times New Roman"/>
          <w:szCs w:val="22"/>
        </w:rPr>
        <w:t>类时，使用</w:t>
      </w:r>
      <w:r>
        <w:rPr>
          <w:rFonts w:ascii="Times New Roman"/>
          <w:szCs w:val="22"/>
        </w:rPr>
        <w:t>1/3～1/2</w:t>
      </w:r>
      <w:r>
        <w:rPr>
          <w:rFonts w:hint="eastAsia" w:hAnsi="宋体" w:cs="宋体"/>
          <w:szCs w:val="22"/>
        </w:rPr>
        <w:t>标准限值的标准物质，当水质为</w:t>
      </w:r>
      <w:r>
        <w:rPr>
          <w:rFonts w:hint="eastAsia" w:ascii="仿宋_GB2312" w:hAnsi="仿宋_GB2312" w:eastAsia="仿宋_GB2312" w:cs="仿宋_GB2312"/>
          <w:szCs w:val="22"/>
        </w:rPr>
        <w:t>Ⅳ</w:t>
      </w:r>
      <w:r>
        <w:rPr>
          <w:rFonts w:hint="eastAsia" w:hAnsi="宋体" w:cs="宋体"/>
          <w:szCs w:val="22"/>
        </w:rPr>
        <w:t>～劣</w:t>
      </w:r>
      <w:r>
        <w:rPr>
          <w:rFonts w:hint="eastAsia" w:ascii="仿宋_GB2312" w:hAnsi="仿宋_GB2312" w:eastAsia="仿宋_GB2312" w:cs="仿宋_GB2312"/>
          <w:szCs w:val="22"/>
        </w:rPr>
        <w:t>Ⅴ</w:t>
      </w:r>
      <w:r>
        <w:rPr>
          <w:rFonts w:hint="eastAsia" w:hAnsi="宋体" w:cs="宋体"/>
          <w:szCs w:val="22"/>
        </w:rPr>
        <w:t>类时，使</w:t>
      </w:r>
      <w:r>
        <w:rPr>
          <w:rFonts w:hint="eastAsia" w:ascii="Times New Roman"/>
          <w:szCs w:val="22"/>
        </w:rPr>
        <w:t>用Ⅳ类或Ⅴ类标准限值浓度附近的标准物质。操作及结果计算方法见附录A.3。</w:t>
      </w:r>
    </w:p>
    <w:bookmarkEnd w:id="63"/>
    <w:p>
      <w:pPr>
        <w:pStyle w:val="42"/>
        <w:numPr>
          <w:ilvl w:val="3"/>
          <w:numId w:val="3"/>
        </w:numPr>
        <w:rPr>
          <w:rFonts w:ascii="Times New Roman"/>
        </w:rPr>
      </w:pPr>
      <w:r>
        <w:rPr>
          <w:rFonts w:hint="eastAsia" w:ascii="Times New Roman"/>
          <w:szCs w:val="22"/>
        </w:rPr>
        <w:t>多点线性核查</w:t>
      </w:r>
    </w:p>
    <w:p>
      <w:pPr>
        <w:pStyle w:val="23"/>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）、重金属（铜、铅、锌、镉、锑、铊）应开展多点线性核查，监测仪器依次测试均匀覆盖跨度范围的4个浓度（含零点、低、中、高4个浓度）的标准溶液并进行线性拟合。操作及结果计算方法见附录A.4。</w:t>
      </w:r>
    </w:p>
    <w:p>
      <w:pPr>
        <w:pStyle w:val="42"/>
        <w:numPr>
          <w:ilvl w:val="3"/>
          <w:numId w:val="3"/>
        </w:numPr>
        <w:rPr>
          <w:rFonts w:ascii="Times New Roman"/>
        </w:rPr>
      </w:pPr>
      <w:r>
        <w:rPr>
          <w:rFonts w:hint="eastAsia" w:ascii="Times New Roman"/>
        </w:rPr>
        <w:t>加标回收率测定</w:t>
      </w:r>
    </w:p>
    <w:p>
      <w:pPr>
        <w:pStyle w:val="23"/>
        <w:rPr>
          <w:rFonts w:ascii="Times New Roman"/>
          <w:szCs w:val="22"/>
        </w:rPr>
      </w:pPr>
      <w:r>
        <w:rPr>
          <w:rFonts w:hint="eastAsia" w:ascii="Times New Roman"/>
          <w:szCs w:val="22"/>
        </w:rPr>
        <w:t>加标回收率作为现场异常情况排查的一种方法，可按现场实际情况对化学需氧量（COD</w:t>
      </w:r>
      <w:r>
        <w:rPr>
          <w:rFonts w:hint="eastAsia" w:ascii="Times New Roman"/>
          <w:szCs w:val="22"/>
          <w:vertAlign w:val="subscript"/>
        </w:rPr>
        <w:t>Cr</w:t>
      </w:r>
      <w:r>
        <w:rPr>
          <w:rFonts w:hint="eastAsia" w:ascii="Times New Roman"/>
          <w:szCs w:val="22"/>
        </w:rPr>
        <w:t>）、重金属（铜、锌、铅、镉、锑、铊）进行加标回收试验。操作及结果计算方法见附录A.5。</w:t>
      </w:r>
    </w:p>
    <w:p>
      <w:pPr>
        <w:pStyle w:val="42"/>
        <w:numPr>
          <w:ilvl w:val="3"/>
          <w:numId w:val="3"/>
        </w:numPr>
        <w:rPr>
          <w:rFonts w:ascii="Times New Roman"/>
        </w:rPr>
      </w:pPr>
      <w:r>
        <w:rPr>
          <w:rFonts w:hint="eastAsia" w:ascii="Times New Roman"/>
        </w:rPr>
        <w:t>集成影响检查</w:t>
      </w:r>
    </w:p>
    <w:p>
      <w:pPr>
        <w:pStyle w:val="23"/>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）、重金属（铜、锌、铅、镉、锑、铊）应进行集成影响检查，结果不合格时应及时调整采配水及预处理条件至合格。操作及结果计算方法见附录A.6。</w:t>
      </w:r>
    </w:p>
    <w:p>
      <w:pPr>
        <w:pStyle w:val="42"/>
        <w:numPr>
          <w:ilvl w:val="3"/>
          <w:numId w:val="3"/>
        </w:numPr>
        <w:rPr>
          <w:rFonts w:ascii="Times New Roman"/>
        </w:rPr>
      </w:pPr>
      <w:r>
        <w:rPr>
          <w:rFonts w:hint="eastAsia" w:ascii="Times New Roman"/>
        </w:rPr>
        <w:t>实际水样比对</w:t>
      </w:r>
    </w:p>
    <w:p>
      <w:pPr>
        <w:pStyle w:val="23"/>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）、重金属（铜、锌、铅、镉、锑、铊）应开展实际水样比对，优先选择原位监测比对。操作及结果计算方法见附录A.7。</w:t>
      </w:r>
    </w:p>
    <w:p>
      <w:pPr>
        <w:pStyle w:val="21"/>
        <w:numPr>
          <w:ilvl w:val="2"/>
          <w:numId w:val="3"/>
        </w:numPr>
        <w:spacing w:before="156" w:after="156"/>
      </w:pPr>
      <w:r>
        <w:rPr>
          <w:rFonts w:hint="eastAsia"/>
        </w:rPr>
        <w:t>质控实施频次和结果要求</w:t>
      </w:r>
    </w:p>
    <w:p>
      <w:pPr>
        <w:pStyle w:val="23"/>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）质量控制方法实施频次及质控结果应满足表1的要求，重金属（铜、锌、铅、镉、锑、铊）质量控制方法实施频次及质控结果应满足表2的要求，其中：每周进行的质量控制与前一次间隔时间应不小于4 d，每月进行的质量控制与前一次间隔时间应不小于15 d。</w:t>
      </w:r>
    </w:p>
    <w:p>
      <w:pPr>
        <w:pStyle w:val="2"/>
        <w:ind w:firstLine="0" w:firstLineChars="0"/>
        <w:jc w:val="center"/>
      </w:pPr>
      <w:r>
        <w:rPr>
          <w:rFonts w:hint="eastAsia" w:ascii="黑体" w:hAnsi="黑体" w:eastAsia="黑体"/>
        </w:rPr>
        <w:t>表1  化学需氧量质控方法及技术要求</w:t>
      </w:r>
    </w:p>
    <w:tbl>
      <w:tblPr>
        <w:tblStyle w:val="1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434"/>
        <w:gridCol w:w="1553"/>
        <w:gridCol w:w="1200"/>
        <w:gridCol w:w="143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tcBorders>
              <w:top w:val="single" w:color="auto" w:sz="12" w:space="0"/>
              <w:left w:val="single" w:color="auto" w:sz="12" w:space="0"/>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质控方法</w:t>
            </w:r>
          </w:p>
        </w:tc>
        <w:tc>
          <w:tcPr>
            <w:tcW w:w="5187" w:type="dxa"/>
            <w:gridSpan w:val="3"/>
            <w:tcBorders>
              <w:top w:val="single" w:color="auto" w:sz="12" w:space="0"/>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技术要求</w:t>
            </w:r>
          </w:p>
        </w:tc>
        <w:tc>
          <w:tcPr>
            <w:tcW w:w="1436" w:type="dxa"/>
            <w:tcBorders>
              <w:top w:val="single" w:color="auto" w:sz="12" w:space="0"/>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内部质控频次</w:t>
            </w:r>
          </w:p>
        </w:tc>
        <w:tc>
          <w:tcPr>
            <w:tcW w:w="1343" w:type="dxa"/>
            <w:tcBorders>
              <w:top w:val="single" w:color="auto" w:sz="12" w:space="0"/>
              <w:bottom w:val="single" w:color="auto" w:sz="12"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外部质控频次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restart"/>
            <w:tcBorders>
              <w:top w:val="single" w:color="auto" w:sz="12" w:space="0"/>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低浓度标样核查和24 h漂移</w:t>
            </w:r>
          </w:p>
        </w:tc>
        <w:tc>
          <w:tcPr>
            <w:tcW w:w="2434" w:type="dxa"/>
            <w:tcBorders>
              <w:top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低浓度标样核查</w:t>
            </w:r>
          </w:p>
        </w:tc>
        <w:tc>
          <w:tcPr>
            <w:tcW w:w="1553" w:type="dxa"/>
            <w:tcBorders>
              <w:top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绝对误差</w:t>
            </w:r>
          </w:p>
        </w:tc>
        <w:tc>
          <w:tcPr>
            <w:tcW w:w="1200" w:type="dxa"/>
            <w:tcBorders>
              <w:top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±5mg/L</w:t>
            </w:r>
          </w:p>
        </w:tc>
        <w:tc>
          <w:tcPr>
            <w:tcW w:w="1436" w:type="dxa"/>
            <w:vMerge w:val="restart"/>
            <w:tcBorders>
              <w:top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每日一次</w:t>
            </w:r>
          </w:p>
        </w:tc>
        <w:tc>
          <w:tcPr>
            <w:tcW w:w="1343" w:type="dxa"/>
            <w:vMerge w:val="restart"/>
            <w:tcBorders>
              <w:top w:val="single" w:color="auto" w:sz="12"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continue"/>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p>
        </w:tc>
        <w:tc>
          <w:tcPr>
            <w:tcW w:w="2434"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24 h漂移</w:t>
            </w:r>
          </w:p>
        </w:tc>
        <w:tc>
          <w:tcPr>
            <w:tcW w:w="1553"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00"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±5mg/L</w:t>
            </w:r>
          </w:p>
        </w:tc>
        <w:tc>
          <w:tcPr>
            <w:tcW w:w="1436" w:type="dxa"/>
            <w:vMerge w:val="continue"/>
            <w:vAlign w:val="center"/>
          </w:tcPr>
          <w:p>
            <w:pPr>
              <w:pStyle w:val="2"/>
              <w:ind w:firstLine="0" w:firstLineChars="0"/>
              <w:jc w:val="center"/>
              <w:rPr>
                <w:rFonts w:ascii="Times New Roman" w:hAnsi="Times New Roman" w:eastAsiaTheme="minorEastAsia"/>
                <w:sz w:val="18"/>
                <w:szCs w:val="18"/>
              </w:rPr>
            </w:pPr>
          </w:p>
        </w:tc>
        <w:tc>
          <w:tcPr>
            <w:tcW w:w="1343" w:type="dxa"/>
            <w:vMerge w:val="continue"/>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restart"/>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高浓度标样核查和24 h漂移</w:t>
            </w:r>
          </w:p>
        </w:tc>
        <w:tc>
          <w:tcPr>
            <w:tcW w:w="2434"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高浓度标样核查</w:t>
            </w:r>
          </w:p>
        </w:tc>
        <w:tc>
          <w:tcPr>
            <w:tcW w:w="1553"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00"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±5%</w:t>
            </w:r>
          </w:p>
        </w:tc>
        <w:tc>
          <w:tcPr>
            <w:tcW w:w="1436" w:type="dxa"/>
            <w:vMerge w:val="restart"/>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每日一次</w:t>
            </w:r>
          </w:p>
        </w:tc>
        <w:tc>
          <w:tcPr>
            <w:tcW w:w="1343" w:type="dxa"/>
            <w:vMerge w:val="restart"/>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continue"/>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p>
        </w:tc>
        <w:tc>
          <w:tcPr>
            <w:tcW w:w="2434"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24 h漂移</w:t>
            </w:r>
          </w:p>
        </w:tc>
        <w:tc>
          <w:tcPr>
            <w:tcW w:w="1553"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00"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±5%</w:t>
            </w:r>
          </w:p>
        </w:tc>
        <w:tc>
          <w:tcPr>
            <w:tcW w:w="1436" w:type="dxa"/>
            <w:vMerge w:val="continue"/>
            <w:vAlign w:val="center"/>
          </w:tcPr>
          <w:p>
            <w:pPr>
              <w:pStyle w:val="2"/>
              <w:ind w:firstLine="0" w:firstLineChars="0"/>
              <w:jc w:val="center"/>
              <w:rPr>
                <w:rFonts w:ascii="Times New Roman" w:hAnsi="Times New Roman" w:eastAsiaTheme="minorEastAsia"/>
                <w:sz w:val="18"/>
                <w:szCs w:val="18"/>
              </w:rPr>
            </w:pPr>
          </w:p>
        </w:tc>
        <w:tc>
          <w:tcPr>
            <w:tcW w:w="1343" w:type="dxa"/>
            <w:vMerge w:val="continue"/>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标准样品核查</w:t>
            </w:r>
          </w:p>
        </w:tc>
        <w:tc>
          <w:tcPr>
            <w:tcW w:w="2434"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553"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00"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±5%</w:t>
            </w:r>
          </w:p>
        </w:tc>
        <w:tc>
          <w:tcPr>
            <w:tcW w:w="1436"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43" w:type="dxa"/>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4" w:type="dxa"/>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多点线性核查</w:t>
            </w:r>
          </w:p>
        </w:tc>
        <w:tc>
          <w:tcPr>
            <w:tcW w:w="2434"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线性相关系数r</w:t>
            </w:r>
          </w:p>
        </w:tc>
        <w:tc>
          <w:tcPr>
            <w:tcW w:w="2753" w:type="dxa"/>
            <w:gridSpan w:val="2"/>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≥0.980</w:t>
            </w:r>
          </w:p>
        </w:tc>
        <w:tc>
          <w:tcPr>
            <w:tcW w:w="1436"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43" w:type="dxa"/>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每年至少一次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加标回收率</w:t>
            </w:r>
          </w:p>
        </w:tc>
        <w:tc>
          <w:tcPr>
            <w:tcW w:w="2434"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加标回收率</w:t>
            </w:r>
          </w:p>
        </w:tc>
        <w:tc>
          <w:tcPr>
            <w:tcW w:w="2753" w:type="dxa"/>
            <w:gridSpan w:val="2"/>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80%～120%</w:t>
            </w:r>
          </w:p>
        </w:tc>
        <w:tc>
          <w:tcPr>
            <w:tcW w:w="1436"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43" w:type="dxa"/>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每年至少一次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restart"/>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集成影响检查</w:t>
            </w:r>
          </w:p>
        </w:tc>
        <w:tc>
          <w:tcPr>
            <w:tcW w:w="2434" w:type="dxa"/>
            <w:vMerge w:val="restart"/>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2753" w:type="dxa"/>
            <w:gridSpan w:val="2"/>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水质在Ⅰ</w:t>
            </w:r>
            <w:r>
              <w:rPr>
                <w:rFonts w:ascii="Times New Roman" w:hAnsi="Times New Roman" w:eastAsia="仿宋"/>
                <w:sz w:val="18"/>
                <w:szCs w:val="18"/>
              </w:rPr>
              <w:t>～</w:t>
            </w:r>
            <w:r>
              <w:rPr>
                <w:rFonts w:ascii="Times New Roman" w:hAnsi="Times New Roman" w:eastAsiaTheme="minorEastAsia"/>
                <w:sz w:val="18"/>
                <w:szCs w:val="18"/>
              </w:rPr>
              <w:t>Ⅲ类时无需开展</w:t>
            </w:r>
          </w:p>
        </w:tc>
        <w:tc>
          <w:tcPr>
            <w:tcW w:w="1436"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w:t>
            </w:r>
          </w:p>
        </w:tc>
        <w:tc>
          <w:tcPr>
            <w:tcW w:w="1343" w:type="dxa"/>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4" w:type="dxa"/>
            <w:vMerge w:val="continue"/>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p>
        </w:tc>
        <w:tc>
          <w:tcPr>
            <w:tcW w:w="2434" w:type="dxa"/>
            <w:vMerge w:val="continue"/>
            <w:vAlign w:val="center"/>
          </w:tcPr>
          <w:p>
            <w:pPr>
              <w:pStyle w:val="2"/>
              <w:ind w:firstLine="0" w:firstLineChars="0"/>
              <w:jc w:val="center"/>
              <w:rPr>
                <w:rFonts w:ascii="Times New Roman" w:hAnsi="Times New Roman" w:eastAsiaTheme="minorEastAsia"/>
                <w:sz w:val="18"/>
                <w:szCs w:val="18"/>
              </w:rPr>
            </w:pPr>
          </w:p>
        </w:tc>
        <w:tc>
          <w:tcPr>
            <w:tcW w:w="2753" w:type="dxa"/>
            <w:gridSpan w:val="2"/>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Ⅳ～劣Ⅴ类：±10%</w:t>
            </w:r>
          </w:p>
        </w:tc>
        <w:tc>
          <w:tcPr>
            <w:tcW w:w="1436" w:type="dxa"/>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43" w:type="dxa"/>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每年至少一次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4" w:type="dxa"/>
            <w:tcBorders>
              <w:left w:val="single" w:color="auto" w:sz="12" w:space="0"/>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实际水样比对</w:t>
            </w:r>
          </w:p>
        </w:tc>
        <w:tc>
          <w:tcPr>
            <w:tcW w:w="2434" w:type="dxa"/>
            <w:tcBorders>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2753" w:type="dxa"/>
            <w:gridSpan w:val="2"/>
            <w:tcBorders>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±10%</w:t>
            </w:r>
          </w:p>
        </w:tc>
        <w:tc>
          <w:tcPr>
            <w:tcW w:w="1436" w:type="dxa"/>
            <w:tcBorders>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43" w:type="dxa"/>
            <w:tcBorders>
              <w:bottom w:val="single" w:color="auto" w:sz="12"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每年至少一次</w:t>
            </w:r>
          </w:p>
        </w:tc>
      </w:tr>
    </w:tbl>
    <w:p>
      <w:pPr>
        <w:pStyle w:val="23"/>
        <w:ind w:firstLine="0" w:firstLineChars="0"/>
        <w:rPr>
          <w:rFonts w:ascii="Times New Roman"/>
          <w:szCs w:val="22"/>
        </w:rPr>
      </w:pPr>
    </w:p>
    <w:p>
      <w:pPr>
        <w:pStyle w:val="2"/>
        <w:ind w:firstLine="0" w:firstLineChars="0"/>
        <w:jc w:val="center"/>
        <w:rPr>
          <w:rFonts w:eastAsia="黑体"/>
        </w:rPr>
      </w:pPr>
      <w:r>
        <w:rPr>
          <w:rFonts w:hint="eastAsia" w:ascii="黑体" w:hAnsi="黑体" w:eastAsia="黑体"/>
        </w:rPr>
        <w:t>表2  重金属（铜、铅、锌、镉、锑、铊）质控方法及技术要求</w:t>
      </w:r>
    </w:p>
    <w:tbl>
      <w:tblPr>
        <w:tblStyle w:val="14"/>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450"/>
        <w:gridCol w:w="1560"/>
        <w:gridCol w:w="1210"/>
        <w:gridCol w:w="141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Borders>
              <w:top w:val="single" w:color="auto" w:sz="12" w:space="0"/>
              <w:left w:val="single" w:color="auto" w:sz="12" w:space="0"/>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质控方法</w:t>
            </w:r>
          </w:p>
        </w:tc>
        <w:tc>
          <w:tcPr>
            <w:tcW w:w="5220" w:type="dxa"/>
            <w:gridSpan w:val="3"/>
            <w:tcBorders>
              <w:top w:val="single" w:color="auto" w:sz="12" w:space="0"/>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技术要求</w:t>
            </w:r>
          </w:p>
        </w:tc>
        <w:tc>
          <w:tcPr>
            <w:tcW w:w="1413" w:type="dxa"/>
            <w:tcBorders>
              <w:top w:val="single" w:color="auto" w:sz="12" w:space="0"/>
              <w:bottom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内部质控频次</w:t>
            </w:r>
          </w:p>
        </w:tc>
        <w:tc>
          <w:tcPr>
            <w:tcW w:w="1332" w:type="dxa"/>
            <w:tcBorders>
              <w:top w:val="single" w:color="auto" w:sz="12" w:space="0"/>
              <w:bottom w:val="single" w:color="auto" w:sz="12"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外部质控频次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tcBorders>
              <w:top w:val="single" w:color="auto" w:sz="12" w:space="0"/>
              <w:left w:val="single" w:color="auto" w:sz="12"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低浓度标样核查和24 h漂移</w:t>
            </w:r>
          </w:p>
        </w:tc>
        <w:tc>
          <w:tcPr>
            <w:tcW w:w="2450" w:type="dxa"/>
            <w:tcBorders>
              <w:top w:val="single" w:color="auto" w:sz="12" w:space="0"/>
              <w:bottom w:val="single" w:color="auto" w:sz="4"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低浓度标样核查（铜、铅）</w:t>
            </w:r>
          </w:p>
        </w:tc>
        <w:tc>
          <w:tcPr>
            <w:tcW w:w="1560" w:type="dxa"/>
            <w:tcBorders>
              <w:top w:val="single" w:color="auto" w:sz="12" w:space="0"/>
              <w:bottom w:val="single" w:color="auto" w:sz="4"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绝对误差</w:t>
            </w:r>
          </w:p>
        </w:tc>
        <w:tc>
          <w:tcPr>
            <w:tcW w:w="1210" w:type="dxa"/>
            <w:tcBorders>
              <w:top w:val="single" w:color="auto" w:sz="12" w:space="0"/>
              <w:bottom w:val="single" w:color="auto" w:sz="4"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±4mg/L</w:t>
            </w:r>
          </w:p>
        </w:tc>
        <w:tc>
          <w:tcPr>
            <w:tcW w:w="1413" w:type="dxa"/>
            <w:vMerge w:val="restart"/>
            <w:tcBorders>
              <w:top w:val="single" w:color="auto" w:sz="12"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每日一次</w:t>
            </w:r>
          </w:p>
        </w:tc>
        <w:tc>
          <w:tcPr>
            <w:tcW w:w="1332" w:type="dxa"/>
            <w:vMerge w:val="restart"/>
            <w:tcBorders>
              <w:top w:val="single" w:color="auto" w:sz="12" w:space="0"/>
              <w:right w:val="single" w:color="auto" w:sz="12"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left w:val="single" w:color="auto" w:sz="12"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p>
        </w:tc>
        <w:tc>
          <w:tcPr>
            <w:tcW w:w="2450" w:type="dxa"/>
            <w:tcBorders>
              <w:top w:val="single" w:color="auto" w:sz="4" w:space="0"/>
              <w:bottom w:val="single" w:color="auto" w:sz="4"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低浓度标样核查（其他）</w:t>
            </w:r>
          </w:p>
        </w:tc>
        <w:tc>
          <w:tcPr>
            <w:tcW w:w="1560" w:type="dxa"/>
            <w:tcBorders>
              <w:top w:val="single" w:color="auto" w:sz="4" w:space="0"/>
              <w:bottom w:val="single" w:color="auto" w:sz="4"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10" w:type="dxa"/>
            <w:tcBorders>
              <w:top w:val="single" w:color="auto" w:sz="4" w:space="0"/>
              <w:bottom w:val="single" w:color="auto" w:sz="4"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±10%</w:t>
            </w:r>
          </w:p>
        </w:tc>
        <w:tc>
          <w:tcPr>
            <w:tcW w:w="1413" w:type="dxa"/>
            <w:vMerge w:val="continue"/>
            <w:shd w:val="clear" w:color="auto" w:fill="FFFFFF" w:themeFill="background1"/>
            <w:vAlign w:val="center"/>
          </w:tcPr>
          <w:p>
            <w:pPr>
              <w:pStyle w:val="2"/>
              <w:ind w:firstLine="0" w:firstLineChars="0"/>
              <w:jc w:val="center"/>
              <w:rPr>
                <w:rFonts w:ascii="Times New Roman" w:hAnsi="Times New Roman" w:eastAsiaTheme="minorEastAsia"/>
                <w:sz w:val="18"/>
                <w:szCs w:val="18"/>
              </w:rPr>
            </w:pPr>
          </w:p>
        </w:tc>
        <w:tc>
          <w:tcPr>
            <w:tcW w:w="1332" w:type="dxa"/>
            <w:vMerge w:val="continue"/>
            <w:tcBorders>
              <w:right w:val="single" w:color="auto" w:sz="12" w:space="0"/>
            </w:tcBorders>
            <w:shd w:val="clear" w:color="auto" w:fill="FFFFFF" w:themeFill="background1"/>
            <w:vAlign w:val="center"/>
          </w:tcPr>
          <w:p>
            <w:pPr>
              <w:pStyle w:val="2"/>
              <w:ind w:firstLine="0" w:firstLineChars="0"/>
              <w:jc w:val="center"/>
              <w:rPr>
                <w:rFonts w:ascii="Times New Roman" w:hAnsi="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7" w:type="dxa"/>
            <w:vMerge w:val="continue"/>
            <w:tcBorders>
              <w:top w:val="single" w:color="auto" w:sz="12" w:space="0"/>
              <w:left w:val="single" w:color="auto" w:sz="12" w:space="0"/>
              <w:bottom w:val="single" w:color="auto" w:sz="4" w:space="0"/>
            </w:tcBorders>
            <w:vAlign w:val="center"/>
          </w:tcPr>
          <w:p>
            <w:pPr>
              <w:pStyle w:val="2"/>
              <w:ind w:firstLine="0" w:firstLineChars="0"/>
              <w:jc w:val="center"/>
              <w:rPr>
                <w:rFonts w:ascii="Times New Roman" w:hAnsi="Times New Roman" w:eastAsiaTheme="minorEastAsia"/>
                <w:sz w:val="18"/>
                <w:szCs w:val="18"/>
              </w:rPr>
            </w:pPr>
          </w:p>
        </w:tc>
        <w:tc>
          <w:tcPr>
            <w:tcW w:w="245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24 h漂移</w:t>
            </w:r>
          </w:p>
        </w:tc>
        <w:tc>
          <w:tcPr>
            <w:tcW w:w="156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1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±10%</w:t>
            </w:r>
          </w:p>
        </w:tc>
        <w:tc>
          <w:tcPr>
            <w:tcW w:w="1413" w:type="dxa"/>
            <w:vMerge w:val="continue"/>
            <w:tcBorders>
              <w:top w:val="single" w:color="auto" w:sz="12" w:space="0"/>
              <w:bottom w:val="single" w:color="auto" w:sz="4" w:space="0"/>
            </w:tcBorders>
            <w:vAlign w:val="center"/>
          </w:tcPr>
          <w:p>
            <w:pPr>
              <w:pStyle w:val="2"/>
              <w:ind w:firstLine="0" w:firstLineChars="0"/>
              <w:jc w:val="center"/>
              <w:rPr>
                <w:rFonts w:ascii="Times New Roman" w:hAnsi="Times New Roman" w:eastAsiaTheme="minorEastAsia"/>
                <w:sz w:val="18"/>
                <w:szCs w:val="18"/>
              </w:rPr>
            </w:pPr>
          </w:p>
        </w:tc>
        <w:tc>
          <w:tcPr>
            <w:tcW w:w="1332" w:type="dxa"/>
            <w:vMerge w:val="continue"/>
            <w:tcBorders>
              <w:top w:val="single" w:color="auto" w:sz="12" w:space="0"/>
              <w:bottom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tcBorders>
              <w:top w:val="single" w:color="auto" w:sz="4" w:space="0"/>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高浓度标样核查和24 h漂移</w:t>
            </w:r>
          </w:p>
        </w:tc>
        <w:tc>
          <w:tcPr>
            <w:tcW w:w="245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高浓度标样核查（铜、铅）</w:t>
            </w:r>
          </w:p>
        </w:tc>
        <w:tc>
          <w:tcPr>
            <w:tcW w:w="156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1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±15%</w:t>
            </w:r>
          </w:p>
        </w:tc>
        <w:tc>
          <w:tcPr>
            <w:tcW w:w="1413" w:type="dxa"/>
            <w:vMerge w:val="restart"/>
            <w:tcBorders>
              <w:top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每日一次</w:t>
            </w:r>
          </w:p>
        </w:tc>
        <w:tc>
          <w:tcPr>
            <w:tcW w:w="1332" w:type="dxa"/>
            <w:vMerge w:val="restart"/>
            <w:tcBorders>
              <w:top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left w:val="single" w:color="auto" w:sz="12" w:space="0"/>
            </w:tcBorders>
            <w:vAlign w:val="center"/>
          </w:tcPr>
          <w:p>
            <w:pPr>
              <w:pStyle w:val="2"/>
              <w:ind w:firstLine="0" w:firstLineChars="0"/>
              <w:jc w:val="center"/>
              <w:rPr>
                <w:rFonts w:ascii="Times New Roman" w:hAnsi="Times New Roman" w:eastAsiaTheme="minorEastAsia"/>
                <w:sz w:val="18"/>
                <w:szCs w:val="18"/>
              </w:rPr>
            </w:pPr>
          </w:p>
        </w:tc>
        <w:tc>
          <w:tcPr>
            <w:tcW w:w="245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高浓度标样核查（其他）</w:t>
            </w:r>
          </w:p>
        </w:tc>
        <w:tc>
          <w:tcPr>
            <w:tcW w:w="156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1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±10%</w:t>
            </w:r>
          </w:p>
        </w:tc>
        <w:tc>
          <w:tcPr>
            <w:tcW w:w="1413" w:type="dxa"/>
            <w:vMerge w:val="continue"/>
            <w:vAlign w:val="center"/>
          </w:tcPr>
          <w:p>
            <w:pPr>
              <w:pStyle w:val="2"/>
              <w:ind w:firstLine="0" w:firstLineChars="0"/>
              <w:jc w:val="center"/>
              <w:rPr>
                <w:rFonts w:ascii="Times New Roman" w:hAnsi="Times New Roman" w:eastAsiaTheme="minorEastAsia"/>
                <w:sz w:val="18"/>
                <w:szCs w:val="18"/>
              </w:rPr>
            </w:pPr>
          </w:p>
        </w:tc>
        <w:tc>
          <w:tcPr>
            <w:tcW w:w="1332" w:type="dxa"/>
            <w:vMerge w:val="continue"/>
            <w:tcBorders>
              <w:right w:val="single" w:color="auto" w:sz="12" w:space="0"/>
            </w:tcBorders>
            <w:vAlign w:val="center"/>
          </w:tcPr>
          <w:p>
            <w:pPr>
              <w:pStyle w:val="2"/>
              <w:ind w:firstLine="0" w:firstLineChars="0"/>
              <w:jc w:val="center"/>
              <w:rPr>
                <w:rFonts w:ascii="Times New Roman" w:hAnsi="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single" w:color="auto" w:sz="12" w:space="0"/>
              <w:left w:val="single" w:color="auto" w:sz="12" w:space="0"/>
              <w:bottom w:val="single" w:color="auto" w:sz="4" w:space="0"/>
            </w:tcBorders>
            <w:vAlign w:val="center"/>
          </w:tcPr>
          <w:p>
            <w:pPr>
              <w:pStyle w:val="2"/>
              <w:ind w:firstLine="0" w:firstLineChars="0"/>
              <w:jc w:val="center"/>
              <w:rPr>
                <w:rFonts w:ascii="Times New Roman" w:hAnsi="Times New Roman" w:eastAsiaTheme="minorEastAsia"/>
                <w:sz w:val="18"/>
                <w:szCs w:val="18"/>
              </w:rPr>
            </w:pPr>
          </w:p>
        </w:tc>
        <w:tc>
          <w:tcPr>
            <w:tcW w:w="245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24 h漂移</w:t>
            </w:r>
          </w:p>
        </w:tc>
        <w:tc>
          <w:tcPr>
            <w:tcW w:w="156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1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±10%</w:t>
            </w:r>
          </w:p>
        </w:tc>
        <w:tc>
          <w:tcPr>
            <w:tcW w:w="1413" w:type="dxa"/>
            <w:vMerge w:val="continue"/>
            <w:tcBorders>
              <w:top w:val="single" w:color="auto" w:sz="12" w:space="0"/>
              <w:bottom w:val="single" w:color="auto" w:sz="4" w:space="0"/>
            </w:tcBorders>
            <w:vAlign w:val="center"/>
          </w:tcPr>
          <w:p>
            <w:pPr>
              <w:pStyle w:val="2"/>
              <w:ind w:firstLine="0" w:firstLineChars="0"/>
              <w:jc w:val="center"/>
              <w:rPr>
                <w:rFonts w:ascii="Times New Roman" w:hAnsi="Times New Roman" w:eastAsiaTheme="minorEastAsia"/>
                <w:sz w:val="18"/>
                <w:szCs w:val="18"/>
              </w:rPr>
            </w:pPr>
          </w:p>
        </w:tc>
        <w:tc>
          <w:tcPr>
            <w:tcW w:w="1332" w:type="dxa"/>
            <w:vMerge w:val="continue"/>
            <w:tcBorders>
              <w:top w:val="single" w:color="auto" w:sz="12" w:space="0"/>
              <w:bottom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7" w:type="dxa"/>
            <w:tcBorders>
              <w:top w:val="single" w:color="auto" w:sz="4" w:space="0"/>
              <w:left w:val="single" w:color="auto" w:sz="12"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标准样品核查</w:t>
            </w:r>
          </w:p>
        </w:tc>
        <w:tc>
          <w:tcPr>
            <w:tcW w:w="245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56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121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±10%</w:t>
            </w:r>
          </w:p>
        </w:tc>
        <w:tc>
          <w:tcPr>
            <w:tcW w:w="1413"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32" w:type="dxa"/>
            <w:tcBorders>
              <w:top w:val="single" w:color="auto" w:sz="4" w:space="0"/>
              <w:bottom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7" w:type="dxa"/>
            <w:tcBorders>
              <w:top w:val="single" w:color="auto" w:sz="4" w:space="0"/>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多点线性核查</w:t>
            </w:r>
          </w:p>
        </w:tc>
        <w:tc>
          <w:tcPr>
            <w:tcW w:w="2450" w:type="dxa"/>
            <w:tcBorders>
              <w:top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线性相关系数r</w:t>
            </w:r>
          </w:p>
        </w:tc>
        <w:tc>
          <w:tcPr>
            <w:tcW w:w="2770" w:type="dxa"/>
            <w:gridSpan w:val="2"/>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≥0.980</w:t>
            </w:r>
          </w:p>
        </w:tc>
        <w:tc>
          <w:tcPr>
            <w:tcW w:w="1413" w:type="dxa"/>
            <w:tcBorders>
              <w:top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32" w:type="dxa"/>
            <w:tcBorders>
              <w:top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Borders>
              <w:top w:val="single" w:color="auto" w:sz="4" w:space="0"/>
              <w:left w:val="single" w:color="auto" w:sz="12"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加标回收率</w:t>
            </w:r>
          </w:p>
        </w:tc>
        <w:tc>
          <w:tcPr>
            <w:tcW w:w="2450"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加标回收率</w:t>
            </w:r>
          </w:p>
        </w:tc>
        <w:tc>
          <w:tcPr>
            <w:tcW w:w="2770" w:type="dxa"/>
            <w:gridSpan w:val="2"/>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80%～120%</w:t>
            </w:r>
          </w:p>
        </w:tc>
        <w:tc>
          <w:tcPr>
            <w:tcW w:w="1413" w:type="dxa"/>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32" w:type="dxa"/>
            <w:tcBorders>
              <w:top w:val="single" w:color="auto" w:sz="4" w:space="0"/>
              <w:bottom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tcBorders>
              <w:top w:val="single" w:color="auto" w:sz="4" w:space="0"/>
              <w:lef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集成影响检查</w:t>
            </w:r>
          </w:p>
        </w:tc>
        <w:tc>
          <w:tcPr>
            <w:tcW w:w="2450" w:type="dxa"/>
            <w:vMerge w:val="restart"/>
            <w:tcBorders>
              <w:top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2770" w:type="dxa"/>
            <w:gridSpan w:val="2"/>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水质在Ⅰ～Ⅲ类时无需开展</w:t>
            </w:r>
          </w:p>
        </w:tc>
        <w:tc>
          <w:tcPr>
            <w:tcW w:w="1413" w:type="dxa"/>
            <w:tcBorders>
              <w:top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w:t>
            </w:r>
          </w:p>
        </w:tc>
        <w:tc>
          <w:tcPr>
            <w:tcW w:w="1332" w:type="dxa"/>
            <w:tcBorders>
              <w:top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left w:val="single" w:color="auto" w:sz="12" w:space="0"/>
              <w:bottom w:val="single" w:color="auto" w:sz="4" w:space="0"/>
            </w:tcBorders>
            <w:vAlign w:val="center"/>
          </w:tcPr>
          <w:p>
            <w:pPr>
              <w:pStyle w:val="2"/>
              <w:ind w:firstLine="0" w:firstLineChars="0"/>
              <w:jc w:val="center"/>
              <w:rPr>
                <w:rFonts w:ascii="Times New Roman" w:hAnsi="Times New Roman" w:eastAsiaTheme="minorEastAsia"/>
                <w:sz w:val="18"/>
                <w:szCs w:val="18"/>
              </w:rPr>
            </w:pPr>
          </w:p>
        </w:tc>
        <w:tc>
          <w:tcPr>
            <w:tcW w:w="2450" w:type="dxa"/>
            <w:vMerge w:val="continue"/>
            <w:tcBorders>
              <w:bottom w:val="single" w:color="auto" w:sz="4" w:space="0"/>
            </w:tcBorders>
            <w:vAlign w:val="center"/>
          </w:tcPr>
          <w:p>
            <w:pPr>
              <w:pStyle w:val="2"/>
              <w:ind w:firstLine="0" w:firstLineChars="0"/>
              <w:jc w:val="center"/>
              <w:rPr>
                <w:rFonts w:ascii="Times New Roman" w:hAnsi="Times New Roman" w:eastAsiaTheme="minorEastAsia"/>
                <w:sz w:val="18"/>
                <w:szCs w:val="18"/>
              </w:rPr>
            </w:pPr>
          </w:p>
        </w:tc>
        <w:tc>
          <w:tcPr>
            <w:tcW w:w="2770" w:type="dxa"/>
            <w:gridSpan w:val="2"/>
            <w:tcBorders>
              <w:top w:val="single" w:color="auto" w:sz="4" w:space="0"/>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Ⅳ～劣Ⅴ类：±10%以内</w:t>
            </w:r>
          </w:p>
        </w:tc>
        <w:tc>
          <w:tcPr>
            <w:tcW w:w="1413" w:type="dxa"/>
            <w:tcBorders>
              <w:bottom w:val="single" w:color="auto" w:sz="4"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32" w:type="dxa"/>
            <w:tcBorders>
              <w:bottom w:val="single" w:color="auto" w:sz="4"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每年至少一次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Borders>
              <w:left w:val="single" w:color="auto" w:sz="12" w:space="0"/>
              <w:bottom w:val="single" w:color="auto" w:sz="18"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实际水样比对</w:t>
            </w:r>
          </w:p>
        </w:tc>
        <w:tc>
          <w:tcPr>
            <w:tcW w:w="2450" w:type="dxa"/>
            <w:tcBorders>
              <w:bottom w:val="single" w:color="auto" w:sz="18"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相对误差</w:t>
            </w:r>
          </w:p>
        </w:tc>
        <w:tc>
          <w:tcPr>
            <w:tcW w:w="2770" w:type="dxa"/>
            <w:gridSpan w:val="2"/>
            <w:tcBorders>
              <w:bottom w:val="single" w:color="auto" w:sz="18"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±10%以内</w:t>
            </w:r>
          </w:p>
        </w:tc>
        <w:tc>
          <w:tcPr>
            <w:tcW w:w="1413" w:type="dxa"/>
            <w:tcBorders>
              <w:bottom w:val="single" w:color="auto" w:sz="18"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每月一次</w:t>
            </w:r>
          </w:p>
        </w:tc>
        <w:tc>
          <w:tcPr>
            <w:tcW w:w="1332" w:type="dxa"/>
            <w:tcBorders>
              <w:bottom w:val="single" w:color="auto" w:sz="18" w:space="0"/>
              <w:right w:val="single" w:color="auto" w:sz="12" w:space="0"/>
            </w:tcBorders>
            <w:vAlign w:val="center"/>
          </w:tcPr>
          <w:p>
            <w:pPr>
              <w:pStyle w:val="2"/>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每年至少一次</w:t>
            </w:r>
          </w:p>
        </w:tc>
      </w:tr>
    </w:tbl>
    <w:p>
      <w:pPr>
        <w:pStyle w:val="2"/>
        <w:sectPr>
          <w:pgSz w:w="11906" w:h="16838"/>
          <w:pgMar w:top="567" w:right="1134" w:bottom="1134" w:left="1417" w:header="1417" w:footer="1134" w:gutter="0"/>
          <w:pgNumType w:start="1"/>
          <w:cols w:space="720" w:num="1"/>
          <w:docGrid w:type="lines" w:linePitch="312" w:charSpace="0"/>
        </w:sectPr>
      </w:pPr>
    </w:p>
    <w:p>
      <w:pPr>
        <w:pStyle w:val="32"/>
        <w:numPr>
          <w:ilvl w:val="0"/>
          <w:numId w:val="3"/>
        </w:numPr>
        <w:spacing w:before="312" w:after="312"/>
      </w:pPr>
      <w:bookmarkStart w:id="64" w:name="_Toc7807"/>
      <w:r>
        <w:rPr>
          <w:rFonts w:hint="eastAsia"/>
        </w:rPr>
        <w:t>数据质量管理</w:t>
      </w:r>
      <w:bookmarkEnd w:id="64"/>
    </w:p>
    <w:p>
      <w:pPr>
        <w:pStyle w:val="22"/>
        <w:numPr>
          <w:ilvl w:val="1"/>
          <w:numId w:val="3"/>
        </w:numPr>
        <w:spacing w:before="156" w:after="156"/>
        <w:ind w:left="0"/>
      </w:pPr>
      <w:bookmarkStart w:id="65" w:name="_Toc22024"/>
      <w:bookmarkStart w:id="66" w:name="_Toc31766"/>
      <w:bookmarkStart w:id="67" w:name="_Toc21052"/>
      <w:bookmarkStart w:id="68" w:name="_Toc31921"/>
      <w:bookmarkStart w:id="69" w:name="_Toc17110"/>
      <w:bookmarkStart w:id="70" w:name="_Toc5464"/>
      <w:bookmarkStart w:id="71" w:name="_Toc13712"/>
      <w:bookmarkStart w:id="72" w:name="_Toc15716"/>
      <w:bookmarkStart w:id="73" w:name="_Toc29880"/>
      <w:bookmarkStart w:id="74" w:name="_Toc31342"/>
      <w:bookmarkStart w:id="75" w:name="_Toc8141"/>
      <w:r>
        <w:rPr>
          <w:rFonts w:hint="eastAsia"/>
        </w:rPr>
        <w:t>运维单位数据审核</w:t>
      </w:r>
      <w:bookmarkEnd w:id="65"/>
      <w:bookmarkEnd w:id="66"/>
    </w:p>
    <w:p>
      <w:pPr>
        <w:pStyle w:val="23"/>
        <w:rPr>
          <w:rFonts w:ascii="Times New Roman"/>
          <w:szCs w:val="22"/>
        </w:rPr>
      </w:pPr>
      <w:r>
        <w:rPr>
          <w:rFonts w:hint="eastAsia" w:ascii="Times New Roman"/>
          <w:szCs w:val="22"/>
        </w:rPr>
        <w:t>运维单位应于每日10时前完成前一日监测数据审核，核实异常数据，排查原因后审核并提交相关佐证材料，按要求对监测数据有效性进行标记，并批注说明。</w:t>
      </w:r>
    </w:p>
    <w:p>
      <w:pPr>
        <w:pStyle w:val="22"/>
        <w:numPr>
          <w:ilvl w:val="1"/>
          <w:numId w:val="3"/>
        </w:numPr>
        <w:spacing w:before="156" w:after="156"/>
        <w:ind w:left="0"/>
      </w:pPr>
      <w:bookmarkStart w:id="76" w:name="_Toc9547"/>
      <w:bookmarkStart w:id="77" w:name="_Toc2437"/>
      <w:r>
        <w:rPr>
          <w:rFonts w:hint="eastAsia"/>
        </w:rPr>
        <w:t>数据有效性评价</w:t>
      </w:r>
      <w:bookmarkEnd w:id="76"/>
      <w:bookmarkEnd w:id="77"/>
    </w:p>
    <w:p>
      <w:pPr>
        <w:pStyle w:val="23"/>
        <w:rPr>
          <w:rFonts w:ascii="Times New Roman"/>
          <w:szCs w:val="22"/>
        </w:rPr>
      </w:pPr>
      <w:r>
        <w:rPr>
          <w:rFonts w:hint="eastAsia" w:ascii="Times New Roman"/>
          <w:szCs w:val="22"/>
        </w:rPr>
        <w:t>质控合格数据经运维单位审核通过的视为有效数据，当监测数据出现以下情况时，判定为无效数据：</w:t>
      </w:r>
    </w:p>
    <w:p>
      <w:pPr>
        <w:pStyle w:val="46"/>
        <w:numPr>
          <w:ilvl w:val="0"/>
          <w:numId w:val="13"/>
        </w:numPr>
        <w:rPr>
          <w:rFonts w:ascii="Times New Roman"/>
          <w:szCs w:val="22"/>
        </w:rPr>
      </w:pPr>
      <w:r>
        <w:rPr>
          <w:rFonts w:hint="eastAsia" w:ascii="Times New Roman"/>
          <w:szCs w:val="22"/>
        </w:rPr>
        <w:t>未经报备而进行加密监测所产生的数据；</w:t>
      </w:r>
    </w:p>
    <w:p>
      <w:pPr>
        <w:pStyle w:val="46"/>
        <w:numPr>
          <w:ilvl w:val="0"/>
          <w:numId w:val="13"/>
        </w:numPr>
        <w:rPr>
          <w:rFonts w:ascii="Times New Roman"/>
          <w:szCs w:val="22"/>
        </w:rPr>
      </w:pPr>
      <w:r>
        <w:rPr>
          <w:rFonts w:hint="eastAsia" w:ascii="Times New Roman"/>
          <w:szCs w:val="22"/>
        </w:rPr>
        <w:t>水样测量值长期超量程的数据；</w:t>
      </w:r>
    </w:p>
    <w:p>
      <w:pPr>
        <w:pStyle w:val="46"/>
        <w:numPr>
          <w:ilvl w:val="0"/>
          <w:numId w:val="13"/>
        </w:numPr>
        <w:rPr>
          <w:rFonts w:ascii="Times New Roman"/>
          <w:szCs w:val="22"/>
        </w:rPr>
      </w:pPr>
      <w:r>
        <w:rPr>
          <w:rFonts w:hint="eastAsia" w:ascii="Times New Roman"/>
          <w:szCs w:val="22"/>
        </w:rPr>
        <w:t>仪器更换试剂后至校准完成前所产生的数据；</w:t>
      </w:r>
    </w:p>
    <w:p>
      <w:pPr>
        <w:pStyle w:val="46"/>
        <w:numPr>
          <w:ilvl w:val="0"/>
          <w:numId w:val="13"/>
        </w:numPr>
        <w:rPr>
          <w:rFonts w:ascii="Times New Roman"/>
          <w:szCs w:val="22"/>
        </w:rPr>
      </w:pPr>
      <w:r>
        <w:rPr>
          <w:rFonts w:hint="eastAsia" w:ascii="Times New Roman"/>
          <w:szCs w:val="22"/>
        </w:rPr>
        <w:t>由于仪器或工控机故障等原因导致连续多时段的重复数据；</w:t>
      </w:r>
    </w:p>
    <w:p>
      <w:pPr>
        <w:pStyle w:val="46"/>
        <w:numPr>
          <w:ilvl w:val="0"/>
          <w:numId w:val="13"/>
        </w:numPr>
        <w:rPr>
          <w:rFonts w:ascii="Times New Roman"/>
          <w:szCs w:val="22"/>
        </w:rPr>
      </w:pPr>
      <w:r>
        <w:rPr>
          <w:rFonts w:hint="eastAsia" w:ascii="Times New Roman"/>
          <w:szCs w:val="22"/>
        </w:rPr>
        <w:t>其他不符合运维相关规范要求导致失真的监测数据。</w:t>
      </w:r>
    </w:p>
    <w:p>
      <w:pPr>
        <w:pStyle w:val="22"/>
        <w:numPr>
          <w:ilvl w:val="1"/>
          <w:numId w:val="3"/>
        </w:numPr>
        <w:spacing w:before="156" w:after="156"/>
        <w:ind w:left="0"/>
      </w:pPr>
      <w:bookmarkStart w:id="78" w:name="_Toc20305"/>
      <w:bookmarkStart w:id="79" w:name="_Toc18677"/>
      <w:r>
        <w:rPr>
          <w:rFonts w:hint="eastAsia"/>
        </w:rPr>
        <w:t>数据修约规则</w:t>
      </w:r>
      <w:bookmarkEnd w:id="78"/>
      <w:bookmarkEnd w:id="79"/>
    </w:p>
    <w:p>
      <w:pPr>
        <w:pStyle w:val="23"/>
        <w:rPr>
          <w:rFonts w:ascii="Times New Roman"/>
          <w:szCs w:val="22"/>
        </w:rPr>
      </w:pPr>
      <w:r>
        <w:rPr>
          <w:rFonts w:hint="eastAsia" w:ascii="Times New Roman"/>
          <w:szCs w:val="22"/>
        </w:rPr>
        <w:t>地表水水质自动监测数据，根据 GB/T 8170 数值修约规则进行修约，保留小数位数应满足附录B的要求。</w:t>
      </w:r>
    </w:p>
    <w:p>
      <w:pPr>
        <w:pStyle w:val="22"/>
        <w:numPr>
          <w:ilvl w:val="1"/>
          <w:numId w:val="3"/>
        </w:numPr>
        <w:spacing w:before="156" w:after="156"/>
        <w:ind w:left="0"/>
      </w:pPr>
      <w:bookmarkStart w:id="80" w:name="_Toc18579"/>
      <w:bookmarkStart w:id="81" w:name="_Toc4235"/>
      <w:r>
        <w:rPr>
          <w:rFonts w:hint="eastAsia"/>
        </w:rPr>
        <w:t>数据有效率计算</w:t>
      </w:r>
      <w:bookmarkEnd w:id="80"/>
      <w:bookmarkEnd w:id="81"/>
    </w:p>
    <w:p>
      <w:pPr>
        <w:pStyle w:val="23"/>
        <w:rPr>
          <w:rFonts w:ascii="Times New Roman"/>
          <w:szCs w:val="22"/>
        </w:rPr>
      </w:pPr>
      <w:r>
        <w:rPr>
          <w:rFonts w:hint="eastAsia" w:ascii="Times New Roman"/>
          <w:szCs w:val="22"/>
        </w:rPr>
        <w:t>每月审核的有效数据量与应获取数据量（扣除停站影响）的比值，为地表水自动监测站当月数据有效率，单个地表水自动监测站当月数据有效率应不小于95 %。</w:t>
      </w:r>
    </w:p>
    <w:p>
      <w:pPr>
        <w:pStyle w:val="22"/>
        <w:numPr>
          <w:ilvl w:val="1"/>
          <w:numId w:val="3"/>
        </w:numPr>
        <w:spacing w:before="156" w:after="156"/>
        <w:ind w:left="0"/>
      </w:pPr>
      <w:bookmarkStart w:id="82" w:name="_Toc31377"/>
      <w:bookmarkStart w:id="83" w:name="_Toc12476"/>
      <w:r>
        <w:rPr>
          <w:rFonts w:hint="eastAsia"/>
        </w:rPr>
        <w:t>数据备份</w:t>
      </w:r>
      <w:bookmarkEnd w:id="82"/>
      <w:bookmarkEnd w:id="83"/>
    </w:p>
    <w:p>
      <w:pPr>
        <w:pStyle w:val="23"/>
        <w:rPr>
          <w:rFonts w:ascii="Times New Roman"/>
          <w:szCs w:val="22"/>
        </w:rPr>
      </w:pPr>
      <w:r>
        <w:rPr>
          <w:rFonts w:hint="eastAsia" w:ascii="Times New Roman"/>
          <w:szCs w:val="22"/>
        </w:rPr>
        <w:t>运维人员应每月对监测数据、质控数据和电子记录进行备份。</w:t>
      </w:r>
      <w:bookmarkEnd w:id="67"/>
      <w:bookmarkEnd w:id="68"/>
      <w:bookmarkEnd w:id="69"/>
      <w:bookmarkEnd w:id="70"/>
      <w:bookmarkEnd w:id="71"/>
      <w:bookmarkEnd w:id="72"/>
      <w:bookmarkEnd w:id="73"/>
      <w:bookmarkEnd w:id="74"/>
      <w:bookmarkEnd w:id="75"/>
    </w:p>
    <w:p>
      <w:pPr>
        <w:pStyle w:val="32"/>
        <w:numPr>
          <w:ilvl w:val="0"/>
          <w:numId w:val="3"/>
        </w:numPr>
        <w:spacing w:before="312" w:after="312"/>
      </w:pPr>
      <w:bookmarkStart w:id="84" w:name="_Toc32572"/>
      <w:r>
        <w:rPr>
          <w:rFonts w:hint="eastAsia"/>
        </w:rPr>
        <w:t>运维记录与档案</w:t>
      </w:r>
      <w:bookmarkEnd w:id="84"/>
    </w:p>
    <w:p>
      <w:pPr>
        <w:pStyle w:val="22"/>
        <w:numPr>
          <w:ilvl w:val="1"/>
          <w:numId w:val="3"/>
        </w:numPr>
        <w:spacing w:before="156" w:after="156"/>
        <w:ind w:left="0"/>
      </w:pPr>
      <w:bookmarkStart w:id="85" w:name="_Toc2739"/>
      <w:bookmarkStart w:id="86" w:name="_Toc28048"/>
      <w:r>
        <w:rPr>
          <w:rFonts w:hint="eastAsia"/>
        </w:rPr>
        <w:t>运维记录</w:t>
      </w:r>
      <w:bookmarkEnd w:id="85"/>
      <w:bookmarkEnd w:id="86"/>
    </w:p>
    <w:p>
      <w:pPr>
        <w:pStyle w:val="21"/>
        <w:numPr>
          <w:ilvl w:val="2"/>
          <w:numId w:val="3"/>
        </w:numPr>
        <w:spacing w:before="156" w:after="156"/>
      </w:pPr>
      <w:r>
        <w:rPr>
          <w:rFonts w:hint="eastAsia"/>
        </w:rPr>
        <w:t>记录内容</w:t>
      </w:r>
    </w:p>
    <w:p>
      <w:pPr>
        <w:pStyle w:val="23"/>
        <w:rPr>
          <w:rFonts w:ascii="Times New Roman"/>
          <w:szCs w:val="22"/>
        </w:rPr>
      </w:pPr>
      <w:r>
        <w:rPr>
          <w:rFonts w:hint="eastAsia" w:ascii="Times New Roman"/>
          <w:szCs w:val="22"/>
        </w:rPr>
        <w:t>运维记录内容应至少包含巡检情况、试剂更换、仪器校准、设备检修、备品备件更换、废液处置、质控、地表水自动监测站停运及恢复、异常数据核实、数据人工补测、实际水样比对、访客登记等。</w:t>
      </w:r>
    </w:p>
    <w:p>
      <w:pPr>
        <w:pStyle w:val="21"/>
        <w:numPr>
          <w:ilvl w:val="2"/>
          <w:numId w:val="3"/>
        </w:numPr>
        <w:spacing w:before="156" w:after="156"/>
      </w:pPr>
      <w:r>
        <w:rPr>
          <w:rFonts w:hint="eastAsia"/>
        </w:rPr>
        <w:t>填报要求</w:t>
      </w:r>
    </w:p>
    <w:p>
      <w:pPr>
        <w:pStyle w:val="23"/>
        <w:rPr>
          <w:rFonts w:ascii="Times New Roman"/>
          <w:szCs w:val="22"/>
        </w:rPr>
      </w:pPr>
      <w:r>
        <w:rPr>
          <w:rFonts w:hint="eastAsia" w:ascii="Times New Roman"/>
          <w:szCs w:val="22"/>
        </w:rPr>
        <w:t>运维记录填报应符合以下要求：</w:t>
      </w:r>
    </w:p>
    <w:p>
      <w:pPr>
        <w:pStyle w:val="46"/>
        <w:numPr>
          <w:ilvl w:val="0"/>
          <w:numId w:val="14"/>
        </w:numPr>
        <w:rPr>
          <w:rFonts w:ascii="Times New Roman"/>
          <w:szCs w:val="22"/>
        </w:rPr>
      </w:pPr>
      <w:r>
        <w:rPr>
          <w:rFonts w:hint="eastAsia" w:ascii="Times New Roman"/>
          <w:szCs w:val="22"/>
        </w:rPr>
        <w:t>运维记录填报应及时、完整，并同时上传相关佐证材料；</w:t>
      </w:r>
    </w:p>
    <w:p>
      <w:pPr>
        <w:pStyle w:val="46"/>
        <w:numPr>
          <w:ilvl w:val="0"/>
          <w:numId w:val="14"/>
        </w:numPr>
        <w:rPr>
          <w:rFonts w:ascii="Times New Roman"/>
          <w:szCs w:val="22"/>
        </w:rPr>
      </w:pPr>
      <w:r>
        <w:rPr>
          <w:rFonts w:hint="eastAsia" w:ascii="Times New Roman"/>
          <w:szCs w:val="22"/>
        </w:rPr>
        <w:t>人工补测数据、实际水样比对记录应在次月5日前完成数据填报，运维单位应在数据填报当日完成审核确认。</w:t>
      </w:r>
    </w:p>
    <w:p>
      <w:pPr>
        <w:pStyle w:val="22"/>
        <w:numPr>
          <w:ilvl w:val="1"/>
          <w:numId w:val="3"/>
        </w:numPr>
        <w:spacing w:before="156" w:after="156"/>
        <w:ind w:left="0"/>
      </w:pPr>
      <w:bookmarkStart w:id="87" w:name="_Toc13074"/>
      <w:bookmarkStart w:id="88" w:name="_Toc14043"/>
      <w:r>
        <w:rPr>
          <w:rFonts w:hint="eastAsia"/>
        </w:rPr>
        <w:t>运维档案</w:t>
      </w:r>
      <w:bookmarkEnd w:id="87"/>
      <w:bookmarkEnd w:id="88"/>
    </w:p>
    <w:p>
      <w:pPr>
        <w:pStyle w:val="23"/>
        <w:rPr>
          <w:rFonts w:ascii="Times New Roman"/>
          <w:szCs w:val="22"/>
        </w:rPr>
      </w:pPr>
      <w:r>
        <w:rPr>
          <w:rFonts w:hint="eastAsia" w:ascii="Times New Roman"/>
          <w:szCs w:val="22"/>
        </w:rPr>
        <w:t>运维单位应建立“一站一册”运维档案，应包含但不限于以下内容：</w:t>
      </w:r>
    </w:p>
    <w:p>
      <w:pPr>
        <w:pStyle w:val="46"/>
        <w:numPr>
          <w:ilvl w:val="0"/>
          <w:numId w:val="15"/>
        </w:numPr>
        <w:rPr>
          <w:rFonts w:ascii="Times New Roman"/>
          <w:szCs w:val="22"/>
        </w:rPr>
      </w:pPr>
      <w:r>
        <w:rPr>
          <w:rFonts w:hint="eastAsia" w:ascii="Times New Roman"/>
          <w:szCs w:val="22"/>
        </w:rPr>
        <w:t>地表水自动监测站验收材料、仪器说明书、作业指导书等；</w:t>
      </w:r>
    </w:p>
    <w:p>
      <w:pPr>
        <w:pStyle w:val="46"/>
        <w:numPr>
          <w:ilvl w:val="0"/>
          <w:numId w:val="15"/>
        </w:numPr>
        <w:rPr>
          <w:rFonts w:ascii="Times New Roman"/>
          <w:szCs w:val="22"/>
        </w:rPr>
      </w:pPr>
      <w:r>
        <w:rPr>
          <w:rFonts w:hint="eastAsia" w:ascii="Times New Roman"/>
          <w:szCs w:val="22"/>
        </w:rPr>
        <w:t>地表水自动监测站基本情况、周边环境调查、采水方式、预处理方式备案、仪器配置、仪器关键参数信息备案；</w:t>
      </w:r>
    </w:p>
    <w:p>
      <w:pPr>
        <w:pStyle w:val="46"/>
        <w:numPr>
          <w:ilvl w:val="0"/>
          <w:numId w:val="15"/>
        </w:numPr>
        <w:rPr>
          <w:rFonts w:ascii="Times New Roman"/>
          <w:szCs w:val="22"/>
        </w:rPr>
      </w:pPr>
      <w:r>
        <w:rPr>
          <w:rFonts w:hint="eastAsia" w:ascii="Times New Roman"/>
          <w:szCs w:val="22"/>
        </w:rPr>
        <w:t>历年地表水自动监测站运行维护记录。</w:t>
      </w:r>
    </w:p>
    <w:p>
      <w:pPr>
        <w:widowControl/>
        <w:spacing w:line="480" w:lineRule="auto"/>
        <w:jc w:val="left"/>
        <w:outlineLvl w:val="0"/>
        <w:rPr>
          <w:rFonts w:ascii="Times New Roman" w:hAnsi="Times New Roman" w:eastAsia="黑体"/>
          <w:sz w:val="24"/>
        </w:rPr>
        <w:sectPr>
          <w:footerReference r:id="rId12" w:type="default"/>
          <w:footerReference r:id="rId13" w:type="even"/>
          <w:pgSz w:w="11906" w:h="16838"/>
          <w:pgMar w:top="567" w:right="1134" w:bottom="1134" w:left="1417" w:header="1417" w:footer="1134" w:gutter="0"/>
          <w:cols w:space="720" w:num="1"/>
          <w:docGrid w:type="lines" w:linePitch="312" w:charSpace="0"/>
        </w:sectPr>
      </w:pPr>
    </w:p>
    <w:p>
      <w:pPr>
        <w:pStyle w:val="50"/>
        <w:spacing w:after="0"/>
      </w:pPr>
      <w:bookmarkStart w:id="89" w:name="_Toc27753"/>
      <w:bookmarkEnd w:id="89"/>
      <w:bookmarkStart w:id="90" w:name="_Toc31226"/>
      <w:bookmarkStart w:id="91" w:name="_Toc14350"/>
    </w:p>
    <w:p>
      <w:pPr>
        <w:pStyle w:val="2"/>
        <w:ind w:firstLine="0" w:firstLineChars="0"/>
        <w:jc w:val="center"/>
        <w:rPr>
          <w:rFonts w:hint="eastAsia" w:ascii="黑体" w:hAnsi="黑体" w:eastAsia="黑体"/>
        </w:rPr>
      </w:pPr>
      <w:r>
        <w:rPr>
          <w:rFonts w:hint="eastAsia" w:ascii="黑体" w:hAnsi="黑体" w:eastAsia="黑体"/>
        </w:rPr>
        <w:t>（规范性）</w:t>
      </w:r>
    </w:p>
    <w:p>
      <w:pPr>
        <w:widowControl/>
        <w:jc w:val="center"/>
        <w:rPr>
          <w:rFonts w:ascii="Times New Roman" w:hAnsi="Times New Roman" w:eastAsia="黑体"/>
          <w:szCs w:val="21"/>
        </w:rPr>
      </w:pPr>
      <w:r>
        <w:rPr>
          <w:rFonts w:hint="eastAsia" w:ascii="Times New Roman" w:hAnsi="Times New Roman" w:eastAsia="黑体"/>
          <w:szCs w:val="21"/>
        </w:rPr>
        <w:t>质量控制及结果计算方法</w:t>
      </w:r>
      <w:bookmarkEnd w:id="90"/>
      <w:bookmarkEnd w:id="91"/>
    </w:p>
    <w:p>
      <w:pPr>
        <w:pStyle w:val="49"/>
        <w:tabs>
          <w:tab w:val="left" w:pos="360"/>
        </w:tabs>
        <w:spacing w:before="312" w:after="312"/>
        <w:rPr>
          <w:szCs w:val="22"/>
        </w:rPr>
      </w:pPr>
      <w:bookmarkStart w:id="92" w:name="OLE_LINK1"/>
      <w:r>
        <w:rPr>
          <w:rFonts w:hint="eastAsia"/>
          <w:szCs w:val="22"/>
        </w:rPr>
        <w:t>低浓度标准标样核查和24 h漂移</w:t>
      </w:r>
    </w:p>
    <w:p>
      <w:pPr>
        <w:pStyle w:val="23"/>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）、重金属（铜、铅、锌、镉、锑、铊）水质自动监测仪器每日自动测试1次标样核查上限值0-20 %范围内的标准溶液，按照公式A.1-1计算测定结果相对于标准溶液质量浓度的绝对误差（AE）。</w:t>
      </w:r>
    </w:p>
    <w:p>
      <w:pPr>
        <w:pStyle w:val="23"/>
        <w:ind w:firstLine="0" w:firstLineChars="0"/>
        <w:jc w:val="left"/>
        <w:rPr>
          <w:rFonts w:ascii="Times New Roman"/>
          <w:iCs/>
        </w:rPr>
      </w:pPr>
      <w:r>
        <w:rPr>
          <w:rFonts w:hint="eastAsia" w:ascii="Times New Roman"/>
        </w:rPr>
        <w:t xml:space="preserve">                                        </w:t>
      </w:r>
      <m:oMath>
        <m:r>
          <m:rPr/>
          <w:rPr>
            <w:rFonts w:ascii="Cambria Math" w:hAnsi="Cambria Math"/>
          </w:rPr>
          <m:t>AE=</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−c</m:t>
        </m:r>
      </m:oMath>
      <w:r>
        <w:rPr>
          <w:rFonts w:ascii="Cambria Math" w:hAnsi="Cambria Math"/>
          <w:i/>
        </w:rPr>
        <w:t xml:space="preserve"> </w:t>
      </w:r>
      <w:r>
        <w:rPr>
          <w:rFonts w:hint="eastAsia" w:ascii="Cambria Math" w:hAnsi="Cambria Math"/>
          <w:i/>
        </w:rPr>
        <w:t xml:space="preserve">  </w:t>
      </w:r>
      <w:r>
        <w:rPr>
          <w:rFonts w:hint="eastAsia" w:ascii="Cambria Math" w:hAnsi="Cambria Math"/>
          <w:iCs/>
        </w:rPr>
        <w:t xml:space="preserve">                       </w:t>
      </w:r>
      <w:r>
        <w:rPr>
          <w:rFonts w:hint="eastAsia" w:ascii="Times New Roman"/>
          <w:szCs w:val="22"/>
        </w:rPr>
        <w:t>（A.1-1）</w:t>
      </w:r>
    </w:p>
    <w:p>
      <w:pPr>
        <w:pStyle w:val="2"/>
      </w:pPr>
      <w:r>
        <w:rPr>
          <w:rFonts w:hint="eastAsia"/>
        </w:rPr>
        <w:t>式中：</w:t>
      </w:r>
    </w:p>
    <w:p>
      <w:pPr>
        <w:pStyle w:val="23"/>
        <w:rPr>
          <w:rFonts w:ascii="Times New Roman"/>
          <w:szCs w:val="22"/>
        </w:rPr>
      </w:pPr>
      <m:oMath>
        <m:r>
          <m:rPr/>
          <w:rPr>
            <w:rFonts w:hint="eastAsia" w:ascii="Cambria Math" w:hAnsi="Cambria Math"/>
            <w:szCs w:val="22"/>
          </w:rPr>
          <m:t>AE</m:t>
        </m:r>
      </m:oMath>
      <w:r>
        <w:rPr>
          <w:rFonts w:hint="eastAsia" w:ascii="Times New Roman"/>
          <w:szCs w:val="22"/>
        </w:rPr>
        <w:t xml:space="preserve"> --绝对误差，单位为毫克每升（mg/L）；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m:t>
            </m:r>
            <m:ctrlPr>
              <w:rPr>
                <w:rFonts w:hint="eastAsia" w:ascii="Cambria Math" w:hAnsi="Cambria Math"/>
                <w:i/>
                <w:iCs/>
                <w:szCs w:val="22"/>
              </w:rPr>
            </m:ctrlPr>
          </m:sub>
        </m:sSub>
      </m:oMath>
      <w:r>
        <w:rPr>
          <w:rFonts w:hint="eastAsia" w:ascii="Times New Roman"/>
          <w:szCs w:val="22"/>
        </w:rPr>
        <w:t>--仪器测定值，单位为毫克每升（mg/L）；</w:t>
      </w:r>
    </w:p>
    <w:p>
      <w:pPr>
        <w:pStyle w:val="23"/>
        <w:rPr>
          <w:rFonts w:ascii="Times New Roman"/>
          <w:szCs w:val="22"/>
        </w:rPr>
      </w:pPr>
      <m:oMath>
        <m:r>
          <m:rPr/>
          <w:rPr>
            <w:rFonts w:hint="eastAsia" w:ascii="Cambria Math" w:hAnsi="Cambria Math"/>
            <w:szCs w:val="22"/>
          </w:rPr>
          <m:t>c</m:t>
        </m:r>
      </m:oMath>
      <w:r>
        <w:rPr>
          <w:rFonts w:hint="eastAsia" w:ascii="Cambria Math" w:hAnsi="Cambria Math"/>
          <w:i/>
          <w:iCs/>
          <w:szCs w:val="22"/>
        </w:rPr>
        <w:t xml:space="preserve"> </w:t>
      </w:r>
      <w:r>
        <w:rPr>
          <w:rFonts w:hint="eastAsia" w:ascii="Times New Roman"/>
          <w:szCs w:val="22"/>
        </w:rPr>
        <w:t>--标准溶液浓度值，单位为毫克每升（mg/L）。</w:t>
      </w:r>
    </w:p>
    <w:p>
      <w:pPr>
        <w:pStyle w:val="23"/>
        <w:rPr>
          <w:rFonts w:ascii="Times New Roman"/>
          <w:szCs w:val="22"/>
        </w:rPr>
      </w:pPr>
      <w:r>
        <w:rPr>
          <w:rFonts w:hint="eastAsia" w:ascii="Times New Roman"/>
          <w:szCs w:val="22"/>
        </w:rPr>
        <w:t>按照公式A.1-2计算测试值 24 h 前后的变化幅度相对于标样核查上限值的百分比（LDP），表示为 24 h 低浓度漂移。</w:t>
      </w:r>
    </w:p>
    <w:p>
      <w:pPr>
        <w:widowControl/>
        <w:adjustRightInd w:val="0"/>
        <w:snapToGrid w:val="0"/>
        <w:jc w:val="left"/>
        <w:rPr>
          <w:rFonts w:ascii="Times New Roman" w:hAnsi="Times New Roman"/>
          <w:iCs/>
        </w:rPr>
      </w:pPr>
      <w:r>
        <w:rPr>
          <w:rFonts w:hint="eastAsia" w:ascii="Cambria Math" w:hAnsi="Cambria Math" w:eastAsiaTheme="minorEastAsia"/>
          <w:i/>
        </w:rPr>
        <w:t xml:space="preserve">   </w:t>
      </w:r>
      <w:r>
        <w:rPr>
          <w:rFonts w:hint="eastAsia" w:ascii="Cambria Math" w:hAnsi="Cambria Math" w:eastAsiaTheme="minorEastAsia"/>
          <w:iCs/>
        </w:rPr>
        <w:t xml:space="preserve">                               </w:t>
      </w:r>
      <w:r>
        <w:rPr>
          <w:rFonts w:hint="eastAsia" w:ascii="Cambria Math" w:hAnsi="Cambria Math" w:eastAsiaTheme="minorEastAsia"/>
          <w:i/>
        </w:rPr>
        <w:t xml:space="preserve">  </w:t>
      </w:r>
      <w:r>
        <w:rPr>
          <w:rFonts w:ascii="Cambria Math" w:hAnsi="Cambria Math" w:eastAsiaTheme="minorEastAsia"/>
          <w:i/>
          <w:position w:val="-10"/>
        </w:rPr>
        <w:t xml:space="preserve"> </w:t>
      </w:r>
      <m:oMath>
        <m:r>
          <m:rPr/>
          <w:rPr>
            <w:rFonts w:ascii="Cambria Math" w:hAnsi="Cambria Math" w:eastAsiaTheme="minorEastAsia"/>
          </w:rPr>
          <m:t>LDP</m:t>
        </m:r>
        <m:r>
          <m:rPr>
            <m:sty m:val="p"/>
          </m:rPr>
          <w:rPr>
            <w:rFonts w:ascii="Cambria Math" w:hAnsi="Cambria Math" w:eastAsia="Cambria Math"/>
          </w:rPr>
          <m:t>=</m:t>
        </m:r>
        <m:f>
          <m:fPr>
            <m:ctrlPr>
              <w:rPr>
                <w:rFonts w:ascii="Cambria Math" w:hAnsi="Cambria Math" w:eastAsia="Cambria Math"/>
              </w:rPr>
            </m:ctrlPr>
          </m:fPr>
          <m:num>
            <m:sSub>
              <m:sSubPr>
                <m:ctrlPr>
                  <w:rPr>
                    <w:rFonts w:ascii="Cambria Math" w:hAnsi="Cambria Math" w:eastAsiaTheme="minorEastAsia"/>
                  </w:rPr>
                </m:ctrlPr>
              </m:sSubPr>
              <m:e>
                <m:r>
                  <m:rPr/>
                  <w:rPr>
                    <w:rFonts w:ascii="Cambria Math" w:hAnsi="Cambria Math" w:eastAsiaTheme="minorEastAsia"/>
                  </w:rPr>
                  <m:t>x</m:t>
                </m:r>
                <m:ctrlPr>
                  <w:rPr>
                    <w:rFonts w:ascii="Cambria Math" w:hAnsi="Cambria Math" w:eastAsiaTheme="minorEastAsia"/>
                  </w:rPr>
                </m:ctrlPr>
              </m:e>
              <m:sub>
                <m:r>
                  <m:rPr/>
                  <w:rPr>
                    <w:rFonts w:ascii="Cambria Math" w:hAnsi="Cambria Math" w:eastAsiaTheme="minorEastAsia"/>
                  </w:rPr>
                  <m:t>i</m:t>
                </m:r>
                <m:ctrlPr>
                  <w:rPr>
                    <w:rFonts w:ascii="Cambria Math" w:hAnsi="Cambria Math" w:eastAsiaTheme="minorEastAsia"/>
                  </w:rPr>
                </m:ctrlPr>
              </m:sub>
            </m:sSub>
            <m:r>
              <m:rPr>
                <m:sty m:val="p"/>
              </m:rPr>
              <w:rPr>
                <w:rFonts w:ascii="Cambria Math" w:hAnsi="Cambria Math" w:eastAsiaTheme="minorEastAsia"/>
              </w:rPr>
              <m:t>−</m:t>
            </m:r>
            <m:sSub>
              <m:sSubPr>
                <m:ctrlPr>
                  <w:rPr>
                    <w:rFonts w:ascii="Cambria Math" w:hAnsi="Cambria Math" w:eastAsiaTheme="minorEastAsia"/>
                  </w:rPr>
                </m:ctrlPr>
              </m:sSubPr>
              <m:e>
                <m:r>
                  <m:rPr/>
                  <w:rPr>
                    <w:rFonts w:ascii="Cambria Math" w:hAnsi="Cambria Math" w:eastAsiaTheme="minorEastAsia"/>
                  </w:rPr>
                  <m:t>x</m:t>
                </m:r>
                <m:ctrlPr>
                  <w:rPr>
                    <w:rFonts w:ascii="Cambria Math" w:hAnsi="Cambria Math" w:eastAsiaTheme="minorEastAsia"/>
                  </w:rPr>
                </m:ctrlPr>
              </m:e>
              <m:sub>
                <m:r>
                  <m:rPr/>
                  <w:rPr>
                    <w:rFonts w:ascii="Cambria Math" w:hAnsi="Cambria Math" w:eastAsiaTheme="minorEastAsia"/>
                  </w:rPr>
                  <m:t>i−1</m:t>
                </m:r>
                <m:ctrlPr>
                  <w:rPr>
                    <w:rFonts w:ascii="Cambria Math" w:hAnsi="Cambria Math" w:eastAsiaTheme="minorEastAsia"/>
                  </w:rPr>
                </m:ctrlPr>
              </m:sub>
            </m:sSub>
            <m:ctrlPr>
              <w:rPr>
                <w:rFonts w:ascii="Cambria Math" w:hAnsi="Cambria Math" w:eastAsia="Cambria Math"/>
              </w:rPr>
            </m:ctrlPr>
          </m:num>
          <m:den>
            <m:r>
              <m:rPr/>
              <w:rPr>
                <w:rFonts w:ascii="Cambria Math" w:hAnsi="Cambria Math" w:eastAsiaTheme="minorEastAsia"/>
              </w:rPr>
              <m:t>s</m:t>
            </m:r>
            <m:ctrlPr>
              <w:rPr>
                <w:rFonts w:ascii="Cambria Math" w:hAnsi="Cambria Math" w:eastAsia="Cambria Math"/>
              </w:rPr>
            </m:ctrlPr>
          </m:den>
        </m:f>
        <m:r>
          <m:rPr/>
          <w:rPr>
            <w:rFonts w:ascii="Cambria Math" w:hAnsi="Cambria Math" w:eastAsia="Cambria Math"/>
          </w:rPr>
          <m:t>×100%</m:t>
        </m:r>
      </m:oMath>
      <w:r>
        <w:rPr>
          <w:rFonts w:hint="eastAsia" w:ascii="Cambria Math" w:hAnsi="Cambria Math" w:eastAsiaTheme="minorEastAsia"/>
          <w:i/>
        </w:rPr>
        <w:t xml:space="preserve">                     </w:t>
      </w:r>
      <w:r>
        <w:rPr>
          <w:rFonts w:hint="eastAsia" w:ascii="Times New Roman"/>
          <w:szCs w:val="22"/>
        </w:rPr>
        <w:t>（A.1-2）</w:t>
      </w:r>
    </w:p>
    <w:p>
      <w:pPr>
        <w:pStyle w:val="23"/>
        <w:rPr>
          <w:rFonts w:ascii="Times New Roman"/>
          <w:szCs w:val="22"/>
        </w:rPr>
      </w:pPr>
      <w:r>
        <w:rPr>
          <w:rFonts w:hint="eastAsia" w:ascii="Times New Roman"/>
          <w:szCs w:val="22"/>
        </w:rPr>
        <w:t>式中：</w:t>
      </w:r>
    </w:p>
    <w:p>
      <w:pPr>
        <w:pStyle w:val="23"/>
        <w:rPr>
          <w:rFonts w:ascii="Times New Roman"/>
          <w:szCs w:val="22"/>
        </w:rPr>
      </w:pPr>
      <m:oMath>
        <m:r>
          <m:rPr/>
          <w:rPr>
            <w:rFonts w:hint="eastAsia" w:ascii="Cambria Math" w:hAnsi="Cambria Math"/>
            <w:szCs w:val="22"/>
          </w:rPr>
          <m:t>LDP</m:t>
        </m:r>
      </m:oMath>
      <w:r>
        <w:rPr>
          <w:rFonts w:hint="eastAsia" w:ascii="Times New Roman"/>
          <w:szCs w:val="22"/>
        </w:rPr>
        <w:t>--低浓度24 h漂移；</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m:t>
            </m:r>
            <m:ctrlPr>
              <w:rPr>
                <w:rFonts w:hint="eastAsia" w:ascii="Cambria Math" w:hAnsi="Cambria Math"/>
                <w:i/>
                <w:iCs/>
                <w:szCs w:val="22"/>
              </w:rPr>
            </m:ctrlPr>
          </m:sub>
        </m:sSub>
      </m:oMath>
      <w:r>
        <w:rPr>
          <w:rFonts w:hint="eastAsia" w:ascii="Times New Roman"/>
          <w:szCs w:val="22"/>
        </w:rPr>
        <w:t>--当日仪器测定值，单位为毫克每升（mg/L）；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i−1</m:t>
            </m:r>
            <m:ctrlPr>
              <w:rPr>
                <w:rFonts w:hint="eastAsia" w:ascii="Cambria Math" w:hAnsi="Cambria Math"/>
                <w:i/>
                <w:iCs/>
                <w:szCs w:val="22"/>
              </w:rPr>
            </m:ctrlPr>
          </m:sub>
        </m:sSub>
      </m:oMath>
      <w:r>
        <w:rPr>
          <w:rFonts w:hint="eastAsia" w:ascii="Times New Roman"/>
          <w:szCs w:val="22"/>
        </w:rPr>
        <w:t>--前 24h仪器测定值，单位为毫克每升（mg/L）；</w:t>
      </w:r>
    </w:p>
    <w:p>
      <w:pPr>
        <w:pStyle w:val="23"/>
        <w:rPr>
          <w:rFonts w:ascii="Times New Roman"/>
          <w:szCs w:val="22"/>
        </w:rPr>
      </w:pPr>
      <m:oMath>
        <m:r>
          <m:rPr/>
          <w:rPr>
            <w:rFonts w:hint="eastAsia" w:ascii="Cambria Math" w:hAnsi="Cambria Math"/>
            <w:szCs w:val="22"/>
          </w:rPr>
          <m:t>s</m:t>
        </m:r>
      </m:oMath>
      <w:r>
        <w:rPr>
          <w:rFonts w:hint="eastAsia" w:ascii="Times New Roman"/>
          <w:szCs w:val="22"/>
        </w:rPr>
        <w:t>--标样核查上限，单位为毫克每升（mg/L）。</w:t>
      </w:r>
    </w:p>
    <w:bookmarkEnd w:id="92"/>
    <w:p>
      <w:pPr>
        <w:pStyle w:val="49"/>
        <w:tabs>
          <w:tab w:val="left" w:pos="360"/>
        </w:tabs>
        <w:spacing w:before="312" w:after="312"/>
        <w:rPr>
          <w:szCs w:val="22"/>
        </w:rPr>
      </w:pPr>
      <w:bookmarkStart w:id="93" w:name="_Toc23715"/>
      <w:r>
        <w:rPr>
          <w:rFonts w:hint="eastAsia"/>
          <w:szCs w:val="22"/>
        </w:rPr>
        <w:t>高浓度标准标样核查和24 h漂移</w:t>
      </w:r>
    </w:p>
    <w:p>
      <w:pPr>
        <w:pStyle w:val="23"/>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）、重金属（铜、铅、锌、镉、锑、铊）水质自动监测仪器每日自动测试1次标样核查上限值80 %左右的标准溶液，按照公式A.2-1计算测定结果相对于标准溶液质量浓度的相对误差RE。</w:t>
      </w:r>
    </w:p>
    <w:p>
      <w:pPr>
        <w:pStyle w:val="2"/>
        <w:ind w:firstLine="0" w:firstLineChars="0"/>
        <w:jc w:val="left"/>
        <w:rPr>
          <w:rFonts w:ascii="Times New Roman" w:hAnsi="Times New Roman" w:eastAsiaTheme="minorEastAsia"/>
          <w:iCs/>
        </w:rPr>
      </w:pPr>
      <w:r>
        <w:rPr>
          <w:rFonts w:hint="eastAsia" w:ascii="Times New Roman" w:hAnsi="Times New Roman"/>
        </w:rPr>
        <w:t xml:space="preserve">                                       </w:t>
      </w:r>
      <m:oMath>
        <m:r>
          <m:rPr/>
          <w:rPr>
            <w:rFonts w:ascii="Cambria Math" w:hAnsi="Cambria Math"/>
          </w:rPr>
          <m:t>RE=</m:t>
        </m:r>
        <m:f>
          <m:fPr>
            <m:ctrlPr>
              <w:rPr>
                <w:rFonts w:ascii="Cambria Math" w:hAnsi="Cambria Math"/>
                <w:i/>
              </w:rPr>
            </m:ctrlPr>
          </m:fPr>
          <m:num>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−c</m:t>
            </m:r>
            <m:ctrlPr>
              <w:rPr>
                <w:rFonts w:ascii="Cambria Math" w:hAnsi="Cambria Math"/>
                <w:i/>
              </w:rPr>
            </m:ctrlPr>
          </m:num>
          <m:den>
            <m:r>
              <m:rPr/>
              <w:rPr>
                <w:rFonts w:ascii="Cambria Math" w:hAnsi="Cambria Math"/>
              </w:rPr>
              <m:t>c</m:t>
            </m:r>
            <m:ctrlPr>
              <w:rPr>
                <w:rFonts w:ascii="Cambria Math" w:hAnsi="Cambria Math"/>
                <w:i/>
              </w:rPr>
            </m:ctrlPr>
          </m:den>
        </m:f>
        <m:r>
          <m:rPr/>
          <w:rPr>
            <w:rFonts w:ascii="Cambria Math" w:hAnsi="Cambria Math" w:eastAsia="Cambria Math"/>
          </w:rPr>
          <m:t>×100%</m:t>
        </m:r>
      </m:oMath>
      <w:r>
        <w:rPr>
          <w:rFonts w:ascii="Cambria Math" w:hAnsi="Cambria Math" w:eastAsia="Cambria Math"/>
          <w:i/>
        </w:rPr>
        <w:t xml:space="preserve"> </w:t>
      </w:r>
      <w:r>
        <w:rPr>
          <w:rFonts w:hint="eastAsia" w:ascii="Cambria Math" w:hAnsi="Cambria Math" w:eastAsiaTheme="minorEastAsia"/>
          <w:iCs/>
        </w:rPr>
        <w:t xml:space="preserve">                    （</w:t>
      </w:r>
      <w:r>
        <w:rPr>
          <w:rFonts w:hint="eastAsia" w:ascii="Times New Roman"/>
          <w:szCs w:val="22"/>
        </w:rPr>
        <w:t>A.2-1）</w:t>
      </w:r>
    </w:p>
    <w:p>
      <w:pPr>
        <w:pStyle w:val="2"/>
      </w:pPr>
      <w:r>
        <w:rPr>
          <w:rFonts w:hint="eastAsia"/>
        </w:rPr>
        <w:t>式中：</w:t>
      </w:r>
    </w:p>
    <w:p>
      <w:pPr>
        <w:pStyle w:val="23"/>
        <w:rPr>
          <w:rFonts w:ascii="Times New Roman"/>
          <w:szCs w:val="22"/>
        </w:rPr>
      </w:pPr>
      <m:oMath>
        <m:r>
          <m:rPr/>
          <w:rPr>
            <w:rFonts w:hint="eastAsia" w:ascii="Cambria Math" w:hAnsi="Cambria Math"/>
            <w:szCs w:val="22"/>
          </w:rPr>
          <m:t>RE</m:t>
        </m:r>
      </m:oMath>
      <w:r>
        <w:rPr>
          <w:rFonts w:hint="eastAsia" w:ascii="Times New Roman"/>
          <w:szCs w:val="22"/>
        </w:rPr>
        <w:t xml:space="preserve"> --相对误差，单位为%；</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m:t>
            </m:r>
            <m:ctrlPr>
              <w:rPr>
                <w:rFonts w:hint="eastAsia" w:ascii="Cambria Math" w:hAnsi="Cambria Math"/>
                <w:i/>
                <w:iCs/>
                <w:szCs w:val="22"/>
              </w:rPr>
            </m:ctrlPr>
          </m:sub>
        </m:sSub>
      </m:oMath>
      <w:r>
        <w:rPr>
          <w:rFonts w:hint="eastAsia" w:ascii="Times New Roman"/>
          <w:szCs w:val="22"/>
        </w:rPr>
        <w:t>--仪器测定值，单位为毫克每升（mg/L）；</w:t>
      </w:r>
    </w:p>
    <w:p>
      <w:pPr>
        <w:pStyle w:val="23"/>
        <w:rPr>
          <w:rFonts w:ascii="Times New Roman"/>
          <w:szCs w:val="22"/>
        </w:rPr>
      </w:pPr>
      <m:oMath>
        <m:r>
          <m:rPr/>
          <w:rPr>
            <w:rFonts w:hint="eastAsia" w:ascii="Cambria Math" w:hAnsi="Cambria Math"/>
            <w:szCs w:val="22"/>
          </w:rPr>
          <m:t>c</m:t>
        </m:r>
      </m:oMath>
      <w:r>
        <w:rPr>
          <w:rFonts w:hint="eastAsia" w:ascii="Cambria Math" w:hAnsi="Cambria Math"/>
          <w:i/>
          <w:iCs/>
          <w:szCs w:val="22"/>
        </w:rPr>
        <w:t xml:space="preserve"> </w:t>
      </w:r>
      <w:r>
        <w:rPr>
          <w:rFonts w:hint="eastAsia" w:ascii="Times New Roman"/>
          <w:szCs w:val="22"/>
        </w:rPr>
        <w:t>--标准溶液浓度值，单位为毫克每升（mg/L）。</w:t>
      </w:r>
    </w:p>
    <w:p>
      <w:pPr>
        <w:pStyle w:val="23"/>
        <w:rPr>
          <w:rFonts w:ascii="Times New Roman"/>
          <w:szCs w:val="22"/>
        </w:rPr>
      </w:pPr>
      <w:r>
        <w:rPr>
          <w:rFonts w:hint="eastAsia" w:ascii="Times New Roman"/>
          <w:szCs w:val="22"/>
        </w:rPr>
        <w:t>按照公式A.2-2计算测试值 24 h 前后的变化幅度相对于标样核查上限值的百分比（HDP），表示为 24 h 低浓度漂移。</w:t>
      </w:r>
    </w:p>
    <w:p>
      <w:pPr>
        <w:widowControl/>
        <w:adjustRightInd w:val="0"/>
        <w:snapToGrid w:val="0"/>
        <w:ind w:firstLine="3780" w:firstLineChars="1800"/>
        <w:jc w:val="left"/>
        <w:rPr>
          <w:rFonts w:ascii="Times New Roman" w:hAnsi="Times New Roman"/>
        </w:rPr>
      </w:pPr>
      <w:r>
        <w:rPr>
          <w:rFonts w:ascii="Cambria Math" w:hAnsi="Cambria Math" w:eastAsiaTheme="minorEastAsia"/>
          <w:i/>
          <w:position w:val="-10"/>
        </w:rPr>
        <w:object>
          <v:shape id="_x0000_i1025" o:spt="75" type="#_x0000_t75" style="height:17pt;width:9pt;" o:ole="t" filled="f" o:preferrelative="t" stroked="f" coordsize="21600,21600">
            <v:path/>
            <v:fill on="f" focussize="0,0"/>
            <v:stroke on="f" joinstyle="miter"/>
            <v:imagedata r:id="rId16" o:title=""/>
            <o:lock v:ext="edit" aspectratio="t"/>
            <w10:wrap type="none"/>
            <w10:anchorlock/>
          </v:shape>
          <o:OLEObject Type="Embed" ProgID="Equation.KSEE3" ShapeID="_x0000_i1025" DrawAspect="Content" ObjectID="_1468075725" r:id="rId15">
            <o:LockedField>false</o:LockedField>
          </o:OLEObject>
        </w:object>
      </w:r>
      <m:oMath>
        <m:r>
          <m:rPr/>
          <w:rPr>
            <w:rFonts w:ascii="Cambria Math" w:hAnsi="Cambria Math" w:eastAsiaTheme="minorEastAsia"/>
          </w:rPr>
          <m:t>HDP</m:t>
        </m:r>
        <m:r>
          <m:rPr>
            <m:sty m:val="p"/>
          </m:rPr>
          <w:rPr>
            <w:rFonts w:ascii="Cambria Math" w:hAnsi="Cambria Math" w:eastAsia="Cambria Math"/>
          </w:rPr>
          <m:t>=</m:t>
        </m:r>
        <m:f>
          <m:fPr>
            <m:ctrlPr>
              <w:rPr>
                <w:rFonts w:ascii="Cambria Math" w:hAnsi="Cambria Math" w:eastAsia="Cambria Math"/>
              </w:rPr>
            </m:ctrlPr>
          </m:fPr>
          <m:num>
            <m:sSub>
              <m:sSubPr>
                <m:ctrlPr>
                  <w:rPr>
                    <w:rFonts w:ascii="Cambria Math" w:hAnsi="Cambria Math" w:eastAsiaTheme="minorEastAsia"/>
                  </w:rPr>
                </m:ctrlPr>
              </m:sSubPr>
              <m:e>
                <m:r>
                  <m:rPr/>
                  <w:rPr>
                    <w:rFonts w:ascii="Cambria Math" w:hAnsi="Cambria Math" w:eastAsiaTheme="minorEastAsia"/>
                  </w:rPr>
                  <m:t>x</m:t>
                </m:r>
                <m:ctrlPr>
                  <w:rPr>
                    <w:rFonts w:ascii="Cambria Math" w:hAnsi="Cambria Math" w:eastAsiaTheme="minorEastAsia"/>
                  </w:rPr>
                </m:ctrlPr>
              </m:e>
              <m:sub>
                <m:r>
                  <m:rPr/>
                  <w:rPr>
                    <w:rFonts w:ascii="Cambria Math" w:hAnsi="Cambria Math" w:eastAsiaTheme="minorEastAsia"/>
                  </w:rPr>
                  <m:t>i</m:t>
                </m:r>
                <m:ctrlPr>
                  <w:rPr>
                    <w:rFonts w:ascii="Cambria Math" w:hAnsi="Cambria Math" w:eastAsiaTheme="minorEastAsia"/>
                  </w:rPr>
                </m:ctrlPr>
              </m:sub>
            </m:sSub>
            <m:r>
              <m:rPr>
                <m:sty m:val="p"/>
              </m:rPr>
              <w:rPr>
                <w:rFonts w:ascii="Cambria Math" w:hAnsi="Cambria Math" w:eastAsiaTheme="minorEastAsia"/>
              </w:rPr>
              <m:t>−</m:t>
            </m:r>
            <m:sSub>
              <m:sSubPr>
                <m:ctrlPr>
                  <w:rPr>
                    <w:rFonts w:ascii="Cambria Math" w:hAnsi="Cambria Math" w:eastAsiaTheme="minorEastAsia"/>
                  </w:rPr>
                </m:ctrlPr>
              </m:sSubPr>
              <m:e>
                <m:r>
                  <m:rPr/>
                  <w:rPr>
                    <w:rFonts w:ascii="Cambria Math" w:hAnsi="Cambria Math" w:eastAsiaTheme="minorEastAsia"/>
                  </w:rPr>
                  <m:t>x</m:t>
                </m:r>
                <m:ctrlPr>
                  <w:rPr>
                    <w:rFonts w:ascii="Cambria Math" w:hAnsi="Cambria Math" w:eastAsiaTheme="minorEastAsia"/>
                  </w:rPr>
                </m:ctrlPr>
              </m:e>
              <m:sub>
                <m:r>
                  <m:rPr/>
                  <w:rPr>
                    <w:rFonts w:ascii="Cambria Math" w:hAnsi="Cambria Math" w:eastAsiaTheme="minorEastAsia"/>
                  </w:rPr>
                  <m:t>i−1</m:t>
                </m:r>
                <m:ctrlPr>
                  <w:rPr>
                    <w:rFonts w:ascii="Cambria Math" w:hAnsi="Cambria Math" w:eastAsiaTheme="minorEastAsia"/>
                  </w:rPr>
                </m:ctrlPr>
              </m:sub>
            </m:sSub>
            <m:ctrlPr>
              <w:rPr>
                <w:rFonts w:ascii="Cambria Math" w:hAnsi="Cambria Math" w:eastAsia="Cambria Math"/>
              </w:rPr>
            </m:ctrlPr>
          </m:num>
          <m:den>
            <m:r>
              <m:rPr/>
              <w:rPr>
                <w:rFonts w:ascii="Cambria Math" w:hAnsi="Cambria Math" w:eastAsiaTheme="minorEastAsia"/>
              </w:rPr>
              <m:t>s</m:t>
            </m:r>
            <m:ctrlPr>
              <w:rPr>
                <w:rFonts w:ascii="Cambria Math" w:hAnsi="Cambria Math" w:eastAsia="Cambria Math"/>
              </w:rPr>
            </m:ctrlPr>
          </m:den>
        </m:f>
        <m:r>
          <m:rPr/>
          <w:rPr>
            <w:rFonts w:ascii="Cambria Math" w:hAnsi="Cambria Math" w:eastAsia="Cambria Math"/>
          </w:rPr>
          <m:t>×100%</m:t>
        </m:r>
      </m:oMath>
      <w:r>
        <w:rPr>
          <w:rFonts w:hint="eastAsia" w:ascii="Cambria Math" w:hAnsi="Cambria Math" w:eastAsiaTheme="minorEastAsia"/>
          <w:i/>
        </w:rPr>
        <w:t xml:space="preserve">                   </w:t>
      </w:r>
      <w:r>
        <w:rPr>
          <w:rFonts w:hint="eastAsia" w:ascii="Times New Roman"/>
          <w:szCs w:val="22"/>
        </w:rPr>
        <w:t>（A.2-2）</w:t>
      </w:r>
    </w:p>
    <w:p>
      <w:pPr>
        <w:pStyle w:val="23"/>
        <w:rPr>
          <w:rFonts w:ascii="Times New Roman"/>
          <w:szCs w:val="22"/>
        </w:rPr>
      </w:pPr>
      <w:r>
        <w:rPr>
          <w:rFonts w:hint="eastAsia" w:ascii="Times New Roman"/>
          <w:szCs w:val="22"/>
        </w:rPr>
        <w:t>式中：</w:t>
      </w:r>
    </w:p>
    <w:p>
      <w:pPr>
        <w:pStyle w:val="23"/>
        <w:rPr>
          <w:rFonts w:ascii="Times New Roman"/>
          <w:szCs w:val="22"/>
        </w:rPr>
      </w:pPr>
      <m:oMath>
        <m:r>
          <m:rPr/>
          <w:rPr>
            <w:rFonts w:hint="eastAsia" w:ascii="Cambria Math" w:hAnsi="Cambria Math"/>
            <w:szCs w:val="22"/>
          </w:rPr>
          <m:t>HDP</m:t>
        </m:r>
      </m:oMath>
      <w:r>
        <w:rPr>
          <w:rFonts w:hint="eastAsia" w:ascii="Times New Roman"/>
          <w:szCs w:val="22"/>
        </w:rPr>
        <w:t>--高浓度24 h漂移；</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m:t>
            </m:r>
            <m:ctrlPr>
              <w:rPr>
                <w:rFonts w:hint="eastAsia" w:ascii="Cambria Math" w:hAnsi="Cambria Math"/>
                <w:i/>
                <w:iCs/>
                <w:szCs w:val="22"/>
              </w:rPr>
            </m:ctrlPr>
          </m:sub>
        </m:sSub>
      </m:oMath>
      <w:r>
        <w:rPr>
          <w:rFonts w:hint="eastAsia" w:ascii="Times New Roman"/>
          <w:szCs w:val="22"/>
        </w:rPr>
        <w:t>--当日仪器测定值，单位为毫克每升（mg/L）；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i−1</m:t>
            </m:r>
            <m:ctrlPr>
              <w:rPr>
                <w:rFonts w:hint="eastAsia" w:ascii="Cambria Math" w:hAnsi="Cambria Math"/>
                <w:i/>
                <w:iCs/>
                <w:szCs w:val="22"/>
              </w:rPr>
            </m:ctrlPr>
          </m:sub>
        </m:sSub>
      </m:oMath>
      <w:r>
        <w:rPr>
          <w:rFonts w:hint="eastAsia" w:ascii="Times New Roman"/>
          <w:szCs w:val="22"/>
        </w:rPr>
        <w:t>--前24 h仪器测定值，单位为毫克每升（mg/L）；</w:t>
      </w:r>
    </w:p>
    <w:p>
      <w:pPr>
        <w:pStyle w:val="23"/>
        <w:rPr>
          <w:rFonts w:ascii="Times New Roman"/>
          <w:szCs w:val="22"/>
        </w:rPr>
      </w:pPr>
      <m:oMath>
        <m:r>
          <m:rPr/>
          <w:rPr>
            <w:rFonts w:hint="eastAsia" w:ascii="Cambria Math" w:hAnsi="Cambria Math"/>
            <w:szCs w:val="22"/>
          </w:rPr>
          <m:t>s</m:t>
        </m:r>
      </m:oMath>
      <w:r>
        <w:rPr>
          <w:rFonts w:hint="eastAsia" w:ascii="Times New Roman"/>
          <w:szCs w:val="22"/>
        </w:rPr>
        <w:t>--标样核查上限，单位为毫克每升（mg/L）。</w:t>
      </w:r>
    </w:p>
    <w:p>
      <w:pPr>
        <w:pStyle w:val="49"/>
        <w:tabs>
          <w:tab w:val="left" w:pos="360"/>
        </w:tabs>
        <w:spacing w:before="312" w:after="312"/>
        <w:rPr>
          <w:szCs w:val="22"/>
        </w:rPr>
      </w:pPr>
      <w:r>
        <w:rPr>
          <w:rFonts w:hint="eastAsia"/>
          <w:szCs w:val="22"/>
        </w:rPr>
        <w:t>标准溶液核查</w:t>
      </w:r>
    </w:p>
    <w:p>
      <w:pPr>
        <w:pStyle w:val="23"/>
        <w:shd w:val="clear" w:color="auto" w:fill="FFFFFF" w:themeFill="background1"/>
        <w:rPr>
          <w:rFonts w:ascii="Times New Roman"/>
          <w:szCs w:val="22"/>
        </w:rPr>
      </w:pPr>
      <w:r>
        <w:rPr>
          <w:rFonts w:hint="eastAsia" w:ascii="Times New Roman"/>
          <w:szCs w:val="22"/>
        </w:rPr>
        <w:t>化学需氧量（COD</w:t>
      </w:r>
      <w:r>
        <w:rPr>
          <w:rFonts w:hint="eastAsia" w:ascii="Times New Roman"/>
          <w:szCs w:val="22"/>
          <w:vertAlign w:val="subscript"/>
        </w:rPr>
        <w:t>Cr</w:t>
      </w:r>
      <w:r>
        <w:rPr>
          <w:rFonts w:hint="eastAsia" w:ascii="Times New Roman"/>
          <w:szCs w:val="22"/>
        </w:rPr>
        <w:t>）、重金属（铜、铅、锌、镉、锑、铊）水质自动监测仪器使用标准溶液开展期间标样核查，且每月应至少更换2个不同标准值的标准溶液。按照公式A.3计算测定结果相对于标准溶液质量浓度的相对误差（RE）。</w:t>
      </w:r>
    </w:p>
    <w:p>
      <w:pPr>
        <w:pStyle w:val="2"/>
        <w:shd w:val="clear" w:color="auto" w:fill="FFFFFF" w:themeFill="background1"/>
        <w:ind w:firstLine="3990" w:firstLineChars="1900"/>
        <w:jc w:val="left"/>
        <w:rPr>
          <w:rFonts w:ascii="Times New Roman" w:hAnsi="Times New Roman"/>
        </w:rPr>
      </w:pPr>
      <m:oMath>
        <m:r>
          <m:rPr/>
          <w:rPr>
            <w:rFonts w:ascii="Cambria Math" w:hAnsi="Cambria Math"/>
          </w:rPr>
          <m:t>RE=</m:t>
        </m:r>
        <m:f>
          <m:fPr>
            <m:ctrlPr>
              <w:rPr>
                <w:rFonts w:ascii="Cambria Math" w:hAnsi="Cambria Math"/>
                <w:i/>
              </w:rPr>
            </m:ctrlPr>
          </m:fPr>
          <m:num>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−c</m:t>
            </m:r>
            <m:ctrlPr>
              <w:rPr>
                <w:rFonts w:ascii="Cambria Math" w:hAnsi="Cambria Math"/>
                <w:i/>
              </w:rPr>
            </m:ctrlPr>
          </m:num>
          <m:den>
            <m:r>
              <m:rPr/>
              <w:rPr>
                <w:rFonts w:ascii="Cambria Math" w:hAnsi="Cambria Math"/>
              </w:rPr>
              <m:t>c</m:t>
            </m:r>
            <m:ctrlPr>
              <w:rPr>
                <w:rFonts w:ascii="Cambria Math" w:hAnsi="Cambria Math"/>
                <w:i/>
              </w:rPr>
            </m:ctrlPr>
          </m:den>
        </m:f>
        <m:r>
          <m:rPr/>
          <w:rPr>
            <w:rFonts w:ascii="Cambria Math" w:hAnsi="Cambria Math" w:eastAsia="Cambria Math"/>
          </w:rPr>
          <m:t>×100%</m:t>
        </m:r>
      </m:oMath>
      <w:r>
        <w:rPr>
          <w:rFonts w:ascii="Cambria Math" w:hAnsi="Cambria Math" w:eastAsia="Cambria Math"/>
          <w:i/>
        </w:rPr>
        <w:t xml:space="preserve"> </w:t>
      </w:r>
      <w:r>
        <w:rPr>
          <w:rFonts w:hint="eastAsia" w:ascii="Cambria Math" w:hAnsi="Cambria Math" w:eastAsiaTheme="minorEastAsia"/>
          <w:i/>
        </w:rPr>
        <w:t xml:space="preserve">                    </w:t>
      </w:r>
      <w:r>
        <w:rPr>
          <w:rFonts w:hint="eastAsia" w:ascii="Times New Roman"/>
          <w:szCs w:val="22"/>
        </w:rPr>
        <w:t>（A.3）</w:t>
      </w:r>
    </w:p>
    <w:p>
      <w:pPr>
        <w:pStyle w:val="2"/>
        <w:shd w:val="clear" w:color="auto" w:fill="FFFFFF" w:themeFill="background1"/>
      </w:pPr>
      <w:r>
        <w:rPr>
          <w:rFonts w:hint="eastAsia"/>
        </w:rPr>
        <w:t>式中：</w:t>
      </w:r>
    </w:p>
    <w:p>
      <w:pPr>
        <w:pStyle w:val="23"/>
        <w:shd w:val="clear" w:color="auto" w:fill="FFFFFF" w:themeFill="background1"/>
        <w:rPr>
          <w:rFonts w:ascii="Times New Roman"/>
          <w:szCs w:val="22"/>
        </w:rPr>
      </w:pPr>
      <m:oMath>
        <m:r>
          <m:rPr/>
          <w:rPr>
            <w:rFonts w:hint="eastAsia" w:ascii="Cambria Math" w:hAnsi="Cambria Math"/>
            <w:szCs w:val="22"/>
          </w:rPr>
          <m:t>RE</m:t>
        </m:r>
      </m:oMath>
      <w:r>
        <w:rPr>
          <w:rFonts w:hint="eastAsia" w:ascii="Times New Roman"/>
          <w:szCs w:val="22"/>
        </w:rPr>
        <w:t xml:space="preserve"> --相对误差，单位为%；</w:t>
      </w:r>
    </w:p>
    <w:p>
      <w:pPr>
        <w:pStyle w:val="23"/>
        <w:shd w:val="clear" w:color="auto" w:fill="FFFFFF" w:themeFill="background1"/>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m:t>
            </m:r>
            <m:ctrlPr>
              <w:rPr>
                <w:rFonts w:hint="eastAsia" w:ascii="Cambria Math" w:hAnsi="Cambria Math"/>
                <w:i/>
                <w:iCs/>
                <w:szCs w:val="22"/>
              </w:rPr>
            </m:ctrlPr>
          </m:sub>
        </m:sSub>
      </m:oMath>
      <w:r>
        <w:rPr>
          <w:rFonts w:hint="eastAsia" w:ascii="Times New Roman"/>
          <w:szCs w:val="22"/>
        </w:rPr>
        <w:t>--仪器测定值，单位为毫克每升（mg/L）；</w:t>
      </w:r>
    </w:p>
    <w:p>
      <w:pPr>
        <w:pStyle w:val="23"/>
        <w:shd w:val="clear" w:color="auto" w:fill="FFFFFF" w:themeFill="background1"/>
        <w:rPr>
          <w:rFonts w:ascii="Times New Roman"/>
          <w:szCs w:val="22"/>
        </w:rPr>
      </w:pPr>
      <m:oMath>
        <m:r>
          <m:rPr/>
          <w:rPr>
            <w:rFonts w:hint="eastAsia" w:ascii="Cambria Math" w:hAnsi="Cambria Math"/>
            <w:szCs w:val="22"/>
          </w:rPr>
          <m:t>c</m:t>
        </m:r>
      </m:oMath>
      <w:r>
        <w:rPr>
          <w:rFonts w:hint="eastAsia" w:ascii="Cambria Math" w:hAnsi="Cambria Math"/>
          <w:i/>
          <w:iCs/>
          <w:szCs w:val="22"/>
        </w:rPr>
        <w:t xml:space="preserve"> </w:t>
      </w:r>
      <w:r>
        <w:rPr>
          <w:rFonts w:hint="eastAsia" w:ascii="Times New Roman"/>
          <w:szCs w:val="22"/>
        </w:rPr>
        <w:t>--标准溶液浓度值，单位为毫克每升（mg/L）。</w:t>
      </w:r>
    </w:p>
    <w:p>
      <w:pPr>
        <w:pStyle w:val="49"/>
        <w:tabs>
          <w:tab w:val="left" w:pos="360"/>
        </w:tabs>
        <w:spacing w:before="312" w:after="312"/>
        <w:rPr>
          <w:szCs w:val="22"/>
        </w:rPr>
      </w:pPr>
      <w:bookmarkStart w:id="94" w:name="_Toc15477"/>
      <w:r>
        <w:rPr>
          <w:rFonts w:hint="eastAsia"/>
          <w:szCs w:val="22"/>
        </w:rPr>
        <w:t>多点线性核查</w:t>
      </w:r>
      <w:bookmarkEnd w:id="94"/>
    </w:p>
    <w:p>
      <w:pPr>
        <w:pStyle w:val="23"/>
        <w:rPr>
          <w:rFonts w:ascii="Times New Roman"/>
          <w:szCs w:val="22"/>
        </w:rPr>
      </w:pPr>
      <w:r>
        <w:rPr>
          <w:rFonts w:hint="eastAsia" w:ascii="Times New Roman"/>
          <w:szCs w:val="22"/>
        </w:rPr>
        <w:t xml:space="preserve">水质自动分析仪依次测试均匀覆盖跨度范围内的4个浓度（含零点、低、中、高浓度）的标准溶液，基于最小二乘法进行线性拟合，并计算每个点测试的示值误差和拟合曲线的线性相关系数，标准溶液测试的示值误差均以相对误差表示，零点示值误差参照零点核查要求。将测试结果与标准溶液浓度基于最小二乘法进行线性拟合，并按公式A.4计算每种标准溶液的示值误差和拟合曲线的线性相关系数（r）。 </w:t>
      </w:r>
    </w:p>
    <w:p>
      <w:pPr>
        <w:pStyle w:val="2"/>
        <w:ind w:firstLine="3570" w:firstLineChars="1700"/>
        <w:jc w:val="left"/>
      </w:pPr>
      <m:oMath>
        <m:r>
          <m:rPr/>
          <w:rPr>
            <w:rFonts w:hint="eastAsia" w:ascii="Cambria Math" w:hAnsi="Cambria Math"/>
          </w:rPr>
          <m:t>r</m:t>
        </m:r>
        <m:r>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w:rPr>
                    <w:rFonts w:hint="eastAsia" w:ascii="Cambria Math" w:hAnsi="Cambria Math"/>
                  </w:rPr>
                  <m:t>i</m:t>
                </m:r>
                <m:r>
                  <m:rPr/>
                  <w:rPr>
                    <w:rFonts w:ascii="Cambria Math" w:hAnsi="Cambria Math"/>
                  </w:rPr>
                  <m:t>=1</m:t>
                </m:r>
                <m:ctrlPr>
                  <w:rPr>
                    <w:rFonts w:ascii="Cambria Math" w:hAnsi="Cambria Math"/>
                    <w:i/>
                  </w:rPr>
                </m:ctrlPr>
              </m:sub>
              <m:sup>
                <m:r>
                  <m:rPr/>
                  <w:rPr>
                    <w:rFonts w:ascii="Cambria Math" w:hAnsi="Cambria Math"/>
                  </w:rPr>
                  <m:t>4</m:t>
                </m:r>
                <m:ctrlPr>
                  <w:rPr>
                    <w:rFonts w:ascii="Cambria Math" w:hAnsi="Cambria Math"/>
                    <w:i/>
                  </w:rPr>
                </m:ctrlPr>
              </m:sup>
              <m:e>
                <m:d>
                  <m:dPr>
                    <m:ctrlPr>
                      <w:rPr>
                        <w:rFonts w:ascii="Cambria Math" w:hAnsi="Cambria Math"/>
                        <w:i/>
                      </w:rPr>
                    </m:ctrlPr>
                  </m:dPr>
                  <m:e>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acc>
                      <m:accPr>
                        <m:chr m:val="̅"/>
                        <m:ctrlPr>
                          <w:rPr>
                            <w:rFonts w:ascii="Cambria Math" w:hAnsi="Cambria Math"/>
                            <w:i/>
                          </w:rPr>
                        </m:ctrlPr>
                      </m:accPr>
                      <m:e>
                        <m:r>
                          <m:rPr/>
                          <w:rPr>
                            <w:rFonts w:hint="eastAsia" w:ascii="Cambria Math" w:hAnsi="Cambria Math"/>
                          </w:rPr>
                          <m:t>C</m:t>
                        </m:r>
                        <m:ctrlPr>
                          <w:rPr>
                            <w:rFonts w:ascii="Cambria Math" w:hAnsi="Cambria Math"/>
                            <w:i/>
                          </w:rPr>
                        </m:ctrlPr>
                      </m:e>
                    </m:acc>
                    <m:ctrlPr>
                      <w:rPr>
                        <w:rFonts w:ascii="Cambria Math" w:hAnsi="Cambria Math"/>
                        <w:i/>
                      </w:rPr>
                    </m:ctrlPr>
                  </m:e>
                </m:d>
                <m:r>
                  <m:rPr/>
                  <w:rPr>
                    <w:rFonts w:ascii="Cambria Math" w:hAnsi="Cambria Math"/>
                  </w:rPr>
                  <m:t>×</m:t>
                </m:r>
                <m:r>
                  <m:rPr/>
                  <w:rPr>
                    <w:rFonts w:hint="eastAsia" w:ascii="Cambria Math" w:hAnsi="Cambria Math"/>
                  </w:rPr>
                  <m:t>C</m:t>
                </m:r>
                <m:d>
                  <m:dPr>
                    <m:ctrlPr>
                      <w:rPr>
                        <w:rFonts w:ascii="Cambria Math" w:hAnsi="Cambria Math"/>
                        <w:i/>
                      </w:rPr>
                    </m:ctrlPr>
                  </m:dPr>
                  <m:e>
                    <m:sSub>
                      <m:sSubPr>
                        <m:ctrlPr>
                          <w:rPr>
                            <w:rFonts w:ascii="Cambria Math" w:hAnsi="Cambria Math"/>
                            <w:i/>
                          </w:rPr>
                        </m:ctrlPr>
                      </m:sSubPr>
                      <m:e>
                        <m:r>
                          <m:rPr/>
                          <w:rPr>
                            <w:rFonts w:hint="eastAsia" w:ascii="Cambria Math" w:hAnsi="Cambria Math"/>
                          </w:rPr>
                          <m:t>x</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acc>
                      <m:accPr>
                        <m:chr m:val="̅"/>
                        <m:ctrlPr>
                          <w:rPr>
                            <w:rFonts w:ascii="Cambria Math" w:hAnsi="Cambria Math"/>
                            <w:i/>
                          </w:rPr>
                        </m:ctrlPr>
                      </m:accPr>
                      <m:e>
                        <m:r>
                          <m:rPr/>
                          <w:rPr>
                            <w:rFonts w:hint="eastAsia" w:ascii="Cambria Math" w:hAnsi="Cambria Math"/>
                          </w:rPr>
                          <m:t>x</m:t>
                        </m:r>
                        <m:ctrlPr>
                          <w:rPr>
                            <w:rFonts w:ascii="Cambria Math" w:hAnsi="Cambria Math"/>
                            <w:i/>
                          </w:rPr>
                        </m:ctrlPr>
                      </m:e>
                    </m:acc>
                    <m:ctrlPr>
                      <w:rPr>
                        <w:rFonts w:ascii="Cambria Math" w:hAnsi="Cambria Math"/>
                        <w:i/>
                      </w:rPr>
                    </m:ctrlPr>
                  </m:e>
                </m:d>
                <m:ctrlPr>
                  <w:rPr>
                    <w:rFonts w:ascii="Cambria Math" w:hAnsi="Cambria Math"/>
                    <w:i/>
                  </w:rPr>
                </m:ctrlPr>
              </m:e>
            </m:nary>
            <m:ctrlPr>
              <w:rPr>
                <w:rFonts w:ascii="Cambria Math" w:hAnsi="Cambria Math"/>
                <w:i/>
              </w:rPr>
            </m:ctrlPr>
          </m:num>
          <m:den>
            <m:rad>
              <m:radPr>
                <m:degHide m:val="true"/>
                <m:ctrlPr>
                  <w:rPr>
                    <w:rFonts w:ascii="Cambria Math" w:hAnsi="Cambria Math"/>
                    <w:i/>
                  </w:rPr>
                </m:ctrlPr>
              </m:radPr>
              <m:deg>
                <m:ctrlPr>
                  <w:rPr>
                    <w:rFonts w:ascii="Cambria Math" w:hAnsi="Cambria Math"/>
                    <w:i/>
                  </w:rPr>
                </m:ctrlPr>
              </m:deg>
              <m:e>
                <m:nary>
                  <m:naryPr>
                    <m:chr m:val="∑"/>
                    <m:limLoc m:val="undOvr"/>
                    <m:ctrlPr>
                      <w:rPr>
                        <w:rFonts w:ascii="Cambria Math" w:hAnsi="Cambria Math"/>
                        <w:i/>
                      </w:rPr>
                    </m:ctrlPr>
                  </m:naryPr>
                  <m:sub>
                    <m:r>
                      <m:rPr/>
                      <w:rPr>
                        <w:rFonts w:hint="eastAsia" w:ascii="Cambria Math" w:hAnsi="Cambria Math"/>
                      </w:rPr>
                      <m:t>i</m:t>
                    </m:r>
                    <m:r>
                      <m:rPr/>
                      <w:rPr>
                        <w:rFonts w:ascii="Cambria Math" w:hAnsi="Cambria Math"/>
                      </w:rPr>
                      <m:t>=1</m:t>
                    </m:r>
                    <m:ctrlPr>
                      <w:rPr>
                        <w:rFonts w:ascii="Cambria Math" w:hAnsi="Cambria Math"/>
                        <w:i/>
                      </w:rPr>
                    </m:ctrlPr>
                  </m:sub>
                  <m:sup>
                    <m:r>
                      <m:rPr/>
                      <w:rPr>
                        <w:rFonts w:ascii="Cambria Math" w:hAnsi="Cambria Math"/>
                      </w:rPr>
                      <m:t>4</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acc>
                              <m:accPr>
                                <m:chr m:val="̅"/>
                                <m:ctrlPr>
                                  <w:rPr>
                                    <w:rFonts w:ascii="Cambria Math" w:hAnsi="Cambria Math"/>
                                    <w:i/>
                                  </w:rPr>
                                </m:ctrlPr>
                              </m:accPr>
                              <m:e>
                                <m:r>
                                  <m:rPr/>
                                  <w:rPr>
                                    <w:rFonts w:hint="eastAsia" w:ascii="Cambria Math" w:hAnsi="Cambria Math"/>
                                  </w:rPr>
                                  <m:t>C</m:t>
                                </m:r>
                                <m:ctrlPr>
                                  <w:rPr>
                                    <w:rFonts w:ascii="Cambria Math" w:hAnsi="Cambria Math"/>
                                    <w:i/>
                                  </w:rPr>
                                </m:ctrlPr>
                              </m:e>
                            </m:acc>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nary>
                      <m:naryPr>
                        <m:chr m:val="∑"/>
                        <m:limLoc m:val="subSup"/>
                        <m:ctrlPr>
                          <w:rPr>
                            <w:rFonts w:ascii="Cambria Math" w:hAnsi="Cambria Math"/>
                            <w:i/>
                          </w:rPr>
                        </m:ctrlPr>
                      </m:naryPr>
                      <m:sub>
                        <m:r>
                          <m:rPr/>
                          <w:rPr>
                            <w:rFonts w:hint="eastAsia" w:ascii="Cambria Math" w:hAnsi="Cambria Math"/>
                          </w:rPr>
                          <m:t>i</m:t>
                        </m:r>
                        <m:r>
                          <m:rPr/>
                          <w:rPr>
                            <w:rFonts w:ascii="Cambria Math" w:hAnsi="Cambria Math"/>
                          </w:rPr>
                          <m:t>=1</m:t>
                        </m:r>
                        <m:ctrlPr>
                          <w:rPr>
                            <w:rFonts w:ascii="Cambria Math" w:hAnsi="Cambria Math"/>
                            <w:i/>
                          </w:rPr>
                        </m:ctrlPr>
                      </m:sub>
                      <m:sup>
                        <m:r>
                          <m:rPr/>
                          <w:rPr>
                            <w:rFonts w:ascii="Cambria Math" w:hAnsi="Cambria Math"/>
                          </w:rPr>
                          <m:t>4</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w:rPr>
                                        <w:rFonts w:hint="eastAsia" w:ascii="Cambria Math" w:hAnsi="Cambria Math"/>
                                      </w:rPr>
                                      <m:t>x</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acc>
                                  <m:accPr>
                                    <m:chr m:val="̅"/>
                                    <m:ctrlPr>
                                      <w:rPr>
                                        <w:rFonts w:ascii="Cambria Math" w:hAnsi="Cambria Math"/>
                                        <w:i/>
                                      </w:rPr>
                                    </m:ctrlPr>
                                  </m:accPr>
                                  <m:e>
                                    <m:r>
                                      <m:rPr/>
                                      <w:rPr>
                                        <w:rFonts w:hint="eastAsia" w:ascii="Cambria Math" w:hAnsi="Cambria Math"/>
                                      </w:rPr>
                                      <m:t>x</m:t>
                                    </m:r>
                                    <m:ctrlPr>
                                      <w:rPr>
                                        <w:rFonts w:ascii="Cambria Math" w:hAnsi="Cambria Math"/>
                                        <w:i/>
                                      </w:rPr>
                                    </m:ctrlPr>
                                  </m:e>
                                </m:acc>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nary>
                    <m:ctrlPr>
                      <w:rPr>
                        <w:rFonts w:ascii="Cambria Math" w:hAnsi="Cambria Math"/>
                        <w:i/>
                      </w:rPr>
                    </m:ctrlPr>
                  </m:e>
                </m:nary>
                <m:ctrlPr>
                  <w:rPr>
                    <w:rFonts w:ascii="Cambria Math" w:hAnsi="Cambria Math"/>
                    <w:i/>
                  </w:rPr>
                </m:ctrlPr>
              </m:e>
            </m:rad>
            <m:ctrlPr>
              <w:rPr>
                <w:rFonts w:ascii="Cambria Math" w:hAnsi="Cambria Math"/>
                <w:i/>
              </w:rPr>
            </m:ctrlPr>
          </m:den>
        </m:f>
      </m:oMath>
      <w:r>
        <w:rPr>
          <w:rFonts w:hint="eastAsia"/>
        </w:rPr>
        <w:t xml:space="preserve">           </w:t>
      </w:r>
      <w:r>
        <w:rPr>
          <w:rFonts w:hint="eastAsia" w:ascii="Cambria Math" w:hAnsi="Cambria Math" w:eastAsiaTheme="minorEastAsia"/>
          <w:i/>
        </w:rPr>
        <w:t xml:space="preserve">       </w:t>
      </w:r>
      <w:r>
        <w:rPr>
          <w:rFonts w:hint="eastAsia" w:ascii="Times New Roman"/>
          <w:szCs w:val="22"/>
        </w:rPr>
        <w:t>（A.4）</w:t>
      </w:r>
    </w:p>
    <w:p>
      <w:pPr>
        <w:pStyle w:val="2"/>
        <w:jc w:val="left"/>
        <w:rPr>
          <w:rFonts w:ascii="Times New Roman"/>
          <w:szCs w:val="22"/>
        </w:rPr>
      </w:pPr>
      <w:r>
        <w:rPr>
          <w:rFonts w:hint="eastAsia" w:ascii="Times New Roman"/>
          <w:szCs w:val="22"/>
        </w:rPr>
        <w:t>式中：</w:t>
      </w:r>
    </w:p>
    <w:p>
      <w:pPr>
        <w:pStyle w:val="23"/>
        <w:rPr>
          <w:rFonts w:ascii="Times New Roman"/>
          <w:szCs w:val="22"/>
        </w:rPr>
      </w:pPr>
      <m:oMath>
        <m:r>
          <m:rPr/>
          <w:rPr>
            <w:rFonts w:hint="eastAsia" w:ascii="Cambria Math" w:hAnsi="Cambria Math"/>
            <w:szCs w:val="22"/>
          </w:rPr>
          <m:t>r</m:t>
        </m:r>
      </m:oMath>
      <w:r>
        <w:rPr>
          <w:rFonts w:hint="eastAsia" w:ascii="Times New Roman"/>
          <w:szCs w:val="22"/>
        </w:rPr>
        <w:t>--线性相关系数；</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x</m:t>
            </m:r>
            <m:ctrlPr>
              <w:rPr>
                <w:rFonts w:hint="eastAsia" w:ascii="Cambria Math" w:hAnsi="Cambria Math"/>
                <w:i/>
                <w:iCs/>
                <w:szCs w:val="22"/>
              </w:rPr>
            </m:ctrlPr>
          </m:e>
          <m:sub>
            <m:r>
              <m:rPr/>
              <w:rPr>
                <w:rFonts w:hint="eastAsia" w:ascii="Cambria Math" w:hAnsi="Cambria Math"/>
                <w:szCs w:val="22"/>
              </w:rPr>
              <m:t>i</m:t>
            </m:r>
            <m:ctrlPr>
              <w:rPr>
                <w:rFonts w:hint="eastAsia" w:ascii="Cambria Math" w:hAnsi="Cambria Math"/>
                <w:i/>
                <w:iCs/>
                <w:szCs w:val="22"/>
              </w:rPr>
            </m:ctrlPr>
          </m:sub>
        </m:sSub>
      </m:oMath>
      <w:r>
        <w:rPr>
          <w:rFonts w:hint="eastAsia" w:ascii="Times New Roman"/>
          <w:szCs w:val="22"/>
        </w:rPr>
        <w:t>--不同浓度标准溶液仪器测定值,单位为毫克每升（mg/L）；</w:t>
      </w:r>
    </w:p>
    <w:p>
      <w:pPr>
        <w:pStyle w:val="23"/>
        <w:rPr>
          <w:rFonts w:ascii="Times New Roman"/>
          <w:szCs w:val="22"/>
        </w:rPr>
      </w:pPr>
      <m:oMath>
        <m:acc>
          <m:accPr>
            <m:chr m:val="̅"/>
            <m:ctrlPr>
              <w:rPr>
                <w:rFonts w:hint="eastAsia" w:ascii="Cambria Math" w:hAnsi="Cambria Math"/>
                <w:i/>
                <w:iCs/>
                <w:szCs w:val="22"/>
              </w:rPr>
            </m:ctrlPr>
          </m:accPr>
          <m:e>
            <m:r>
              <m:rPr/>
              <w:rPr>
                <w:rFonts w:hint="eastAsia" w:ascii="Cambria Math" w:hAnsi="Cambria Math"/>
                <w:szCs w:val="22"/>
              </w:rPr>
              <m:t>x</m:t>
            </m:r>
            <m:ctrlPr>
              <w:rPr>
                <w:rFonts w:hint="eastAsia" w:ascii="Cambria Math" w:hAnsi="Cambria Math"/>
                <w:i/>
                <w:iCs/>
                <w:szCs w:val="22"/>
              </w:rPr>
            </m:ctrlPr>
          </m:e>
        </m:acc>
      </m:oMath>
      <w:r>
        <w:rPr>
          <w:rFonts w:hint="eastAsia" w:ascii="Times New Roman"/>
          <w:szCs w:val="22"/>
        </w:rPr>
        <w:t>--不同浓度标准溶液仪器测定值的平均值,单位为毫克每升（mg/L）；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C</m:t>
            </m:r>
            <m:ctrlPr>
              <w:rPr>
                <w:rFonts w:hint="eastAsia" w:ascii="Cambria Math" w:hAnsi="Cambria Math"/>
                <w:i/>
                <w:iCs/>
                <w:szCs w:val="22"/>
              </w:rPr>
            </m:ctrlPr>
          </m:e>
          <m:sub>
            <m:r>
              <m:rPr/>
              <w:rPr>
                <w:rFonts w:hint="eastAsia" w:ascii="Cambria Math" w:hAnsi="Cambria Math"/>
                <w:szCs w:val="22"/>
              </w:rPr>
              <m:t>i</m:t>
            </m:r>
            <m:ctrlPr>
              <w:rPr>
                <w:rFonts w:hint="eastAsia" w:ascii="Cambria Math" w:hAnsi="Cambria Math"/>
                <w:i/>
                <w:iCs/>
                <w:szCs w:val="22"/>
              </w:rPr>
            </m:ctrlPr>
          </m:sub>
        </m:sSub>
      </m:oMath>
      <w:r>
        <w:rPr>
          <w:rFonts w:hint="eastAsia" w:ascii="Times New Roman"/>
          <w:szCs w:val="22"/>
        </w:rPr>
        <w:t>--标准溶液浓度值,单位为毫克每升（mg/L）；</w:t>
      </w:r>
    </w:p>
    <w:p>
      <w:pPr>
        <w:pStyle w:val="23"/>
        <w:rPr>
          <w:rFonts w:ascii="Times New Roman"/>
          <w:szCs w:val="22"/>
        </w:rPr>
      </w:pPr>
      <m:oMath>
        <m:acc>
          <m:accPr>
            <m:chr m:val="̅"/>
            <m:ctrlPr>
              <w:rPr>
                <w:rFonts w:hint="eastAsia" w:ascii="Cambria Math" w:hAnsi="Cambria Math"/>
                <w:i/>
                <w:iCs/>
                <w:szCs w:val="22"/>
              </w:rPr>
            </m:ctrlPr>
          </m:accPr>
          <m:e>
            <m:r>
              <m:rPr/>
              <w:rPr>
                <w:rFonts w:hint="eastAsia" w:ascii="Cambria Math" w:hAnsi="Cambria Math"/>
                <w:szCs w:val="22"/>
              </w:rPr>
              <m:t>C</m:t>
            </m:r>
            <m:ctrlPr>
              <w:rPr>
                <w:rFonts w:hint="eastAsia" w:ascii="Cambria Math" w:hAnsi="Cambria Math"/>
                <w:i/>
                <w:iCs/>
                <w:szCs w:val="22"/>
              </w:rPr>
            </m:ctrlPr>
          </m:e>
        </m:acc>
      </m:oMath>
      <w:r>
        <w:rPr>
          <w:rFonts w:hint="eastAsia" w:ascii="Times New Roman"/>
          <w:szCs w:val="22"/>
        </w:rPr>
        <w:t>--标准溶液浓度值的平均值,单位为毫克每升（mg/L）。</w:t>
      </w:r>
    </w:p>
    <w:p>
      <w:pPr>
        <w:pStyle w:val="49"/>
        <w:tabs>
          <w:tab w:val="left" w:pos="360"/>
        </w:tabs>
        <w:spacing w:before="312" w:after="312"/>
        <w:rPr>
          <w:szCs w:val="22"/>
        </w:rPr>
      </w:pPr>
      <w:bookmarkStart w:id="95" w:name="_Toc12568"/>
      <w:r>
        <w:rPr>
          <w:rFonts w:hint="eastAsia"/>
          <w:szCs w:val="22"/>
        </w:rPr>
        <w:t>加标回收率</w:t>
      </w:r>
      <w:bookmarkEnd w:id="95"/>
    </w:p>
    <w:p>
      <w:pPr>
        <w:pStyle w:val="23"/>
        <w:rPr>
          <w:rFonts w:ascii="Times New Roman"/>
          <w:szCs w:val="22"/>
        </w:rPr>
      </w:pPr>
      <w:r>
        <w:rPr>
          <w:rFonts w:hint="eastAsia" w:ascii="Times New Roman"/>
          <w:szCs w:val="22"/>
        </w:rPr>
        <w:t>仪器进行一次实际水样测定后，对同一样品加入一定量的标准溶液，仪器测试加标后样品，以加标前后水样的测定值变化，按照公式A.5计算加标回收率（R）。当被测水样浓度低于监测仪器的4倍检出限时，加标量应为监测仪器4倍检出限左右浓度），否则加标量为水样浓度的 0.5～3倍，加标量应尽量与样品待测物浓度相等或相近，水样加标时应保证加标后的水样浓度测试时应与水样测试在同一量程。</w:t>
      </w:r>
    </w:p>
    <w:p>
      <w:pPr>
        <w:pStyle w:val="2"/>
        <w:ind w:firstLine="3990" w:firstLineChars="1900"/>
        <w:jc w:val="left"/>
        <w:rPr>
          <w:rFonts w:ascii="Times New Roman" w:hAnsi="Times New Roman"/>
          <w:kern w:val="0"/>
          <w:szCs w:val="20"/>
        </w:rPr>
      </w:pPr>
      <m:oMath>
        <m:r>
          <m:rPr/>
          <w:rPr>
            <w:rFonts w:ascii="Cambria Math" w:hAnsi="Cambria Math" w:eastAsiaTheme="minorEastAsia"/>
          </w:rPr>
          <m:t>R</m:t>
        </m:r>
        <m:r>
          <m:rPr>
            <m:sty m:val="p"/>
          </m:rPr>
          <w:rPr>
            <w:rFonts w:ascii="Cambria Math" w:hAnsi="Cambria Math" w:eastAsia="Cambria Math"/>
          </w:rPr>
          <m:t>=</m:t>
        </m:r>
        <m:f>
          <m:fPr>
            <m:ctrlPr>
              <w:rPr>
                <w:rFonts w:ascii="Cambria Math" w:hAnsi="Cambria Math" w:eastAsia="Cambria Math"/>
              </w:rPr>
            </m:ctrlPr>
          </m:fPr>
          <m:num>
            <m:r>
              <m:rPr/>
              <w:rPr>
                <w:rFonts w:ascii="Cambria Math" w:hAnsi="Cambria Math" w:eastAsiaTheme="minorEastAsia"/>
              </w:rPr>
              <m:t>B−A</m:t>
            </m:r>
            <m:ctrlPr>
              <w:rPr>
                <w:rFonts w:ascii="Cambria Math" w:hAnsi="Cambria Math" w:eastAsia="Cambria Math"/>
              </w:rPr>
            </m:ctrlPr>
          </m:num>
          <m:den>
            <m:sSub>
              <m:sSubPr>
                <m:ctrlPr>
                  <w:rPr>
                    <w:rFonts w:ascii="Cambria Math" w:hAnsi="Cambria Math" w:eastAsiaTheme="minorEastAsia"/>
                  </w:rPr>
                </m:ctrlPr>
              </m:sSubPr>
              <m:e>
                <m:r>
                  <m:rPr/>
                  <w:rPr>
                    <w:rFonts w:ascii="Cambria Math" w:hAnsi="Cambria Math" w:eastAsiaTheme="minorEastAsia"/>
                  </w:rPr>
                  <m:t>V</m:t>
                </m:r>
                <m:ctrlPr>
                  <w:rPr>
                    <w:rFonts w:ascii="Cambria Math" w:hAnsi="Cambria Math" w:eastAsiaTheme="minorEastAsia"/>
                  </w:rPr>
                </m:ctrlPr>
              </m:e>
              <m:sub>
                <m:r>
                  <m:rPr/>
                  <w:rPr>
                    <w:rFonts w:ascii="Cambria Math" w:hAnsi="Cambria Math" w:eastAsiaTheme="minorEastAsia"/>
                  </w:rPr>
                  <m:t>1</m:t>
                </m:r>
                <m:ctrlPr>
                  <w:rPr>
                    <w:rFonts w:ascii="Cambria Math" w:hAnsi="Cambria Math" w:eastAsiaTheme="minorEastAsia"/>
                  </w:rPr>
                </m:ctrlPr>
              </m:sub>
            </m:sSub>
            <m:r>
              <m:rPr/>
              <w:rPr>
                <w:rFonts w:ascii="Cambria Math" w:hAnsi="Cambria Math" w:eastAsiaTheme="minorEastAsia"/>
              </w:rPr>
              <m:t>×C</m:t>
            </m:r>
            <m:ctrlPr>
              <w:rPr>
                <w:rFonts w:ascii="Cambria Math" w:hAnsi="Cambria Math" w:eastAsia="Cambria Math"/>
              </w:rPr>
            </m:ctrlPr>
          </m:den>
        </m:f>
        <m:r>
          <m:rPr/>
          <w:rPr>
            <w:rFonts w:ascii="Cambria Math" w:hAnsi="Cambria Math" w:eastAsia="Cambria Math"/>
          </w:rPr>
          <m:t>×</m:t>
        </m:r>
        <m:sSub>
          <m:sSubPr>
            <m:ctrlPr>
              <w:rPr>
                <w:rFonts w:ascii="Cambria Math" w:hAnsi="Cambria Math" w:eastAsia="Cambria Math"/>
                <w:i/>
              </w:rPr>
            </m:ctrlPr>
          </m:sSubPr>
          <m:e>
            <m:r>
              <m:rPr/>
              <w:rPr>
                <w:rFonts w:ascii="Cambria Math" w:hAnsi="Cambria Math" w:eastAsia="Cambria Math"/>
              </w:rPr>
              <m:t>V</m:t>
            </m:r>
            <m:ctrlPr>
              <w:rPr>
                <w:rFonts w:ascii="Cambria Math" w:hAnsi="Cambria Math" w:eastAsia="Cambria Math"/>
                <w:i/>
              </w:rPr>
            </m:ctrlPr>
          </m:e>
          <m:sub>
            <m:r>
              <m:rPr/>
              <w:rPr>
                <w:rFonts w:ascii="Cambria Math" w:hAnsi="Cambria Math" w:eastAsia="Cambria Math"/>
              </w:rPr>
              <m:t>2</m:t>
            </m:r>
            <m:ctrlPr>
              <w:rPr>
                <w:rFonts w:ascii="Cambria Math" w:hAnsi="Cambria Math" w:eastAsia="Cambria Math"/>
                <w:i/>
              </w:rPr>
            </m:ctrlPr>
          </m:sub>
        </m:sSub>
        <m:r>
          <m:rPr/>
          <w:rPr>
            <w:rFonts w:ascii="Cambria Math" w:hAnsi="Cambria Math" w:eastAsia="Cambria Math"/>
          </w:rPr>
          <m:t>×100%</m:t>
        </m:r>
      </m:oMath>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szCs w:val="22"/>
        </w:rPr>
        <w:t>（A.5）</w:t>
      </w:r>
    </w:p>
    <w:p>
      <w:pPr>
        <w:widowControl/>
        <w:adjustRightInd w:val="0"/>
        <w:snapToGrid w:val="0"/>
        <w:ind w:firstLine="420" w:firstLineChars="200"/>
        <w:jc w:val="left"/>
        <w:rPr>
          <w:rFonts w:ascii="Times New Roman" w:hAnsi="Times New Roman"/>
          <w:kern w:val="0"/>
          <w:szCs w:val="20"/>
        </w:rPr>
      </w:pPr>
      <w:r>
        <w:rPr>
          <w:rFonts w:hint="eastAsia" w:ascii="Times New Roman" w:hAnsi="Times New Roman"/>
          <w:kern w:val="0"/>
          <w:szCs w:val="20"/>
        </w:rPr>
        <w:t>式中：</w:t>
      </w:r>
    </w:p>
    <w:p>
      <w:pPr>
        <w:pStyle w:val="23"/>
        <w:rPr>
          <w:rFonts w:ascii="Times New Roman"/>
          <w:szCs w:val="22"/>
        </w:rPr>
      </w:pPr>
      <m:oMath>
        <m:r>
          <m:rPr/>
          <w:rPr>
            <w:rFonts w:hint="eastAsia" w:ascii="Cambria Math" w:hAnsi="Cambria Math"/>
            <w:szCs w:val="22"/>
          </w:rPr>
          <m:t>R</m:t>
        </m:r>
      </m:oMath>
      <w:r>
        <w:rPr>
          <w:rFonts w:hint="eastAsia" w:ascii="Times New Roman"/>
          <w:szCs w:val="22"/>
        </w:rPr>
        <w:t>--加标回收率；</w:t>
      </w:r>
    </w:p>
    <w:p>
      <w:pPr>
        <w:pStyle w:val="23"/>
        <w:rPr>
          <w:rFonts w:ascii="Times New Roman"/>
          <w:szCs w:val="22"/>
        </w:rPr>
      </w:pPr>
      <m:oMath>
        <m:r>
          <m:rPr/>
          <w:rPr>
            <w:rFonts w:hint="eastAsia" w:ascii="Cambria Math" w:hAnsi="Cambria Math"/>
            <w:szCs w:val="22"/>
          </w:rPr>
          <m:t>B</m:t>
        </m:r>
      </m:oMath>
      <w:r>
        <w:rPr>
          <w:rFonts w:hint="eastAsia" w:ascii="Times New Roman"/>
          <w:szCs w:val="22"/>
        </w:rPr>
        <w:t>--加标后水样测定值，单位为毫克每升（mg/L）；</w:t>
      </w:r>
    </w:p>
    <w:p>
      <w:pPr>
        <w:pStyle w:val="23"/>
        <w:rPr>
          <w:rFonts w:ascii="Times New Roman"/>
          <w:szCs w:val="22"/>
        </w:rPr>
      </w:pPr>
      <m:oMath>
        <m:r>
          <m:rPr/>
          <w:rPr>
            <w:rFonts w:hint="eastAsia" w:ascii="Cambria Math" w:hAnsi="Cambria Math"/>
            <w:szCs w:val="22"/>
          </w:rPr>
          <m:t>A</m:t>
        </m:r>
      </m:oMath>
      <w:r>
        <w:rPr>
          <w:rFonts w:hint="eastAsia" w:ascii="Times New Roman"/>
          <w:szCs w:val="22"/>
        </w:rPr>
        <w:t>--样品测定值，单位为毫克每升（mg/L）；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V</m:t>
            </m:r>
            <m:ctrlPr>
              <w:rPr>
                <w:rFonts w:hint="eastAsia" w:ascii="Cambria Math" w:hAnsi="Cambria Math"/>
                <w:i/>
                <w:iCs/>
                <w:szCs w:val="22"/>
              </w:rPr>
            </m:ctrlPr>
          </m:e>
          <m:sub>
            <m:r>
              <m:rPr/>
              <w:rPr>
                <w:rFonts w:hint="eastAsia" w:ascii="Cambria Math" w:hAnsi="Cambria Math"/>
                <w:szCs w:val="22"/>
              </w:rPr>
              <m:t>1</m:t>
            </m:r>
            <m:ctrlPr>
              <w:rPr>
                <w:rFonts w:hint="eastAsia" w:ascii="Cambria Math" w:hAnsi="Cambria Math"/>
                <w:i/>
                <w:iCs/>
                <w:szCs w:val="22"/>
              </w:rPr>
            </m:ctrlPr>
          </m:sub>
        </m:sSub>
      </m:oMath>
      <w:r>
        <w:rPr>
          <w:rFonts w:hint="eastAsia" w:ascii="Times New Roman"/>
          <w:szCs w:val="22"/>
        </w:rPr>
        <w:t>--加标体积，单位为毫升（mL）；</w:t>
      </w:r>
    </w:p>
    <w:p>
      <w:pPr>
        <w:pStyle w:val="23"/>
        <w:rPr>
          <w:rFonts w:ascii="Times New Roman"/>
          <w:szCs w:val="22"/>
        </w:rPr>
      </w:pPr>
      <m:oMath>
        <m:r>
          <m:rPr/>
          <w:rPr>
            <w:rFonts w:hint="eastAsia" w:ascii="Cambria Math" w:hAnsi="Cambria Math"/>
            <w:szCs w:val="22"/>
          </w:rPr>
          <m:t>C</m:t>
        </m:r>
      </m:oMath>
      <w:r>
        <w:rPr>
          <w:rFonts w:hint="eastAsia" w:ascii="Times New Roman"/>
          <w:szCs w:val="22"/>
        </w:rPr>
        <w:t>--加标样浓度，单位为毫克每升（mg/L）；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V</m:t>
            </m:r>
            <m:ctrlPr>
              <w:rPr>
                <w:rFonts w:hint="eastAsia" w:ascii="Cambria Math" w:hAnsi="Cambria Math"/>
                <w:i/>
                <w:iCs/>
                <w:szCs w:val="22"/>
              </w:rPr>
            </m:ctrlPr>
          </m:e>
          <m:sub>
            <m:r>
              <m:rPr/>
              <w:rPr>
                <w:rFonts w:hint="eastAsia" w:ascii="Cambria Math" w:hAnsi="Cambria Math"/>
                <w:szCs w:val="22"/>
              </w:rPr>
              <m:t>2</m:t>
            </m:r>
            <m:ctrlPr>
              <w:rPr>
                <w:rFonts w:hint="eastAsia" w:ascii="Cambria Math" w:hAnsi="Cambria Math"/>
                <w:i/>
                <w:iCs/>
                <w:szCs w:val="22"/>
              </w:rPr>
            </m:ctrlPr>
          </m:sub>
        </m:sSub>
      </m:oMath>
      <w:r>
        <w:rPr>
          <w:rFonts w:hint="eastAsia" w:ascii="Times New Roman"/>
          <w:szCs w:val="22"/>
        </w:rPr>
        <w:t>--加标后水样体积，单位为毫升（mL）。</w:t>
      </w:r>
    </w:p>
    <w:p>
      <w:pPr>
        <w:pStyle w:val="49"/>
        <w:tabs>
          <w:tab w:val="left" w:pos="360"/>
        </w:tabs>
        <w:spacing w:before="312" w:after="312"/>
        <w:rPr>
          <w:szCs w:val="22"/>
        </w:rPr>
      </w:pPr>
      <w:bookmarkStart w:id="96" w:name="_Toc7598"/>
      <w:r>
        <w:rPr>
          <w:rFonts w:hint="eastAsia"/>
          <w:szCs w:val="22"/>
        </w:rPr>
        <w:t>集成影响检查</w:t>
      </w:r>
      <w:bookmarkEnd w:id="96"/>
    </w:p>
    <w:p>
      <w:pPr>
        <w:pStyle w:val="23"/>
        <w:rPr>
          <w:rFonts w:ascii="Times New Roman"/>
          <w:szCs w:val="22"/>
        </w:rPr>
      </w:pPr>
      <w:r>
        <w:rPr>
          <w:rFonts w:ascii="Times New Roman"/>
          <w:szCs w:val="22"/>
        </w:rPr>
        <w:t>系统开始采水时在采水头所在位置处人工采集水样，水样应先经63</w:t>
      </w:r>
      <w:r>
        <w:rPr>
          <w:rFonts w:hint="eastAsia" w:ascii="Times New Roman"/>
          <w:szCs w:val="22"/>
        </w:rPr>
        <w:t xml:space="preserve"> </w:t>
      </w:r>
      <w:r>
        <w:rPr>
          <w:rFonts w:ascii="Times New Roman"/>
          <w:szCs w:val="22"/>
        </w:rPr>
        <w:t>μm筛网过滤，然后沉降30 min后采用虹吸方式取上清液摇匀直接经监测仪器测试</w:t>
      </w:r>
      <w:r>
        <w:rPr>
          <w:rFonts w:hint="eastAsia" w:ascii="Times New Roman"/>
          <w:szCs w:val="22"/>
        </w:rPr>
        <w:t>，</w:t>
      </w:r>
      <w:r>
        <w:rPr>
          <w:rFonts w:ascii="Times New Roman"/>
          <w:szCs w:val="22"/>
        </w:rPr>
        <w:t>与系统自动监测的结果进行比对，用于检查系统集成对水样代表性的影响，</w:t>
      </w:r>
      <w:r>
        <w:rPr>
          <w:rFonts w:hint="eastAsia" w:ascii="Times New Roman"/>
          <w:szCs w:val="22"/>
        </w:rPr>
        <w:t>按照</w:t>
      </w:r>
      <w:r>
        <w:rPr>
          <w:rFonts w:ascii="Times New Roman"/>
          <w:szCs w:val="22"/>
        </w:rPr>
        <w:t>公式</w:t>
      </w:r>
      <w:r>
        <w:rPr>
          <w:rFonts w:hint="eastAsia" w:ascii="Times New Roman"/>
          <w:szCs w:val="22"/>
        </w:rPr>
        <w:t>A.6计算仪器相对误差（RE）。</w:t>
      </w:r>
    </w:p>
    <w:p>
      <w:pPr>
        <w:pStyle w:val="2"/>
        <w:ind w:firstLine="3990" w:firstLineChars="1900"/>
        <w:jc w:val="left"/>
      </w:pPr>
      <m:oMath>
        <m:r>
          <m:rPr/>
          <w:rPr>
            <w:rFonts w:hint="eastAsia" w:ascii="Cambria Math" w:hAnsi="Cambria Math" w:cs="Cambria Math" w:eastAsiaTheme="minorEastAsia"/>
          </w:rPr>
          <m:t>RE</m:t>
        </m:r>
        <m:r>
          <m:rPr>
            <m:sty m:val="p"/>
          </m:rPr>
          <w:rPr>
            <w:rFonts w:ascii="Cambria Math" w:hAnsi="Cambria Math" w:eastAsia="Cambria Math" w:cs="Cambria Math"/>
          </w:rPr>
          <m:t>=</m:t>
        </m:r>
        <m:f>
          <m:fPr>
            <m:ctrlPr>
              <w:rPr>
                <w:rFonts w:ascii="Cambria Math" w:hAnsi="Cambria Math" w:eastAsia="Cambria Math"/>
              </w:rPr>
            </m:ctrlPr>
          </m:fPr>
          <m:num>
            <m:sSub>
              <m:sSubPr>
                <m:ctrlPr>
                  <w:rPr>
                    <w:rFonts w:ascii="Cambria Math" w:hAnsi="Cambria Math" w:cs="Cambria Math" w:eastAsiaTheme="minorEastAsia"/>
                  </w:rPr>
                </m:ctrlPr>
              </m:sSubPr>
              <m:e>
                <m:r>
                  <m:rPr/>
                  <w:rPr>
                    <w:rFonts w:hint="eastAsia" w:ascii="Cambria Math" w:hAnsi="Cambria Math" w:cs="Cambria Math" w:eastAsiaTheme="minorEastAsia"/>
                  </w:rPr>
                  <m:t>A</m:t>
                </m:r>
                <m:ctrlPr>
                  <w:rPr>
                    <w:rFonts w:ascii="Cambria Math" w:hAnsi="Cambria Math" w:cs="Cambria Math" w:eastAsiaTheme="minorEastAsia"/>
                  </w:rPr>
                </m:ctrlPr>
              </m:e>
              <m:sub>
                <m:r>
                  <m:rPr/>
                  <w:rPr>
                    <w:rFonts w:ascii="Cambria Math" w:hAnsi="Cambria Math" w:cs="Cambria Math" w:eastAsiaTheme="minorEastAsia"/>
                  </w:rPr>
                  <m:t>1</m:t>
                </m:r>
                <m:ctrlPr>
                  <w:rPr>
                    <w:rFonts w:ascii="Cambria Math" w:hAnsi="Cambria Math" w:cs="Cambria Math" w:eastAsiaTheme="minorEastAsia"/>
                  </w:rPr>
                </m:ctrlPr>
              </m:sub>
            </m:sSub>
            <m:r>
              <m:rPr>
                <m:sty m:val="p"/>
              </m:rPr>
              <w:rPr>
                <w:rFonts w:ascii="Cambria Math" w:hAnsi="Cambria Math" w:cs="Cambria Math" w:eastAsiaTheme="minorEastAsia"/>
              </w:rPr>
              <m:t>−</m:t>
            </m:r>
            <m:sSub>
              <m:sSubPr>
                <m:ctrlPr>
                  <w:rPr>
                    <w:rFonts w:ascii="Cambria Math" w:hAnsi="Cambria Math" w:cs="Cambria Math" w:eastAsiaTheme="minorEastAsia"/>
                  </w:rPr>
                </m:ctrlPr>
              </m:sSubPr>
              <m:e>
                <m:r>
                  <m:rPr/>
                  <w:rPr>
                    <w:rFonts w:hint="eastAsia" w:ascii="Cambria Math" w:hAnsi="Cambria Math" w:cs="Cambria Math" w:eastAsiaTheme="minorEastAsia"/>
                  </w:rPr>
                  <m:t>A</m:t>
                </m:r>
                <m:ctrlPr>
                  <w:rPr>
                    <w:rFonts w:ascii="Cambria Math" w:hAnsi="Cambria Math" w:cs="Cambria Math" w:eastAsiaTheme="minorEastAsia"/>
                  </w:rPr>
                </m:ctrlPr>
              </m:e>
              <m:sub>
                <m:r>
                  <m:rPr/>
                  <w:rPr>
                    <w:rFonts w:ascii="Cambria Math" w:hAnsi="Cambria Math" w:cs="Cambria Math" w:eastAsiaTheme="minorEastAsia"/>
                  </w:rPr>
                  <m:t>2</m:t>
                </m:r>
                <m:ctrlPr>
                  <w:rPr>
                    <w:rFonts w:ascii="Cambria Math" w:hAnsi="Cambria Math" w:cs="Cambria Math" w:eastAsiaTheme="minorEastAsia"/>
                  </w:rPr>
                </m:ctrlPr>
              </m:sub>
            </m:sSub>
            <m:ctrlPr>
              <w:rPr>
                <w:rFonts w:ascii="Cambria Math" w:hAnsi="Cambria Math" w:eastAsia="Cambria Math"/>
              </w:rPr>
            </m:ctrlPr>
          </m:num>
          <m:den>
            <m:sSub>
              <m:sSubPr>
                <m:ctrlPr>
                  <w:rPr>
                    <w:rFonts w:ascii="Cambria Math" w:hAnsi="Cambria Math" w:cs="Cambria Math" w:eastAsiaTheme="minorEastAsia"/>
                  </w:rPr>
                </m:ctrlPr>
              </m:sSubPr>
              <m:e>
                <m:r>
                  <m:rPr/>
                  <w:rPr>
                    <w:rFonts w:hint="eastAsia" w:ascii="Cambria Math" w:hAnsi="Cambria Math" w:cs="Cambria Math" w:eastAsiaTheme="minorEastAsia"/>
                  </w:rPr>
                  <m:t>A</m:t>
                </m:r>
                <m:ctrlPr>
                  <w:rPr>
                    <w:rFonts w:ascii="Cambria Math" w:hAnsi="Cambria Math" w:cs="Cambria Math" w:eastAsiaTheme="minorEastAsia"/>
                  </w:rPr>
                </m:ctrlPr>
              </m:e>
              <m:sub>
                <m:r>
                  <m:rPr/>
                  <w:rPr>
                    <w:rFonts w:ascii="Cambria Math" w:hAnsi="Cambria Math" w:cs="Cambria Math" w:eastAsiaTheme="minorEastAsia"/>
                  </w:rPr>
                  <m:t>2</m:t>
                </m:r>
                <m:ctrlPr>
                  <w:rPr>
                    <w:rFonts w:ascii="Cambria Math" w:hAnsi="Cambria Math" w:cs="Cambria Math" w:eastAsiaTheme="minorEastAsia"/>
                  </w:rPr>
                </m:ctrlPr>
              </m:sub>
            </m:sSub>
            <m:ctrlPr>
              <w:rPr>
                <w:rFonts w:ascii="Cambria Math" w:hAnsi="Cambria Math" w:eastAsia="Cambria Math"/>
              </w:rPr>
            </m:ctrlPr>
          </m:den>
        </m:f>
        <m:r>
          <m:rPr/>
          <w:rPr>
            <w:rFonts w:ascii="Cambria Math" w:hAnsi="Cambria Math" w:eastAsia="Cambria Math"/>
          </w:rPr>
          <m:t>×100%</m:t>
        </m:r>
      </m:oMath>
      <w:r>
        <w:rPr>
          <w:rFonts w:hint="eastAsia"/>
        </w:rPr>
        <w:t xml:space="preserve">                  </w:t>
      </w:r>
      <w:r>
        <w:rPr>
          <w:rFonts w:hint="eastAsia" w:ascii="Times New Roman"/>
          <w:szCs w:val="22"/>
        </w:rPr>
        <w:t>（A.6）</w:t>
      </w:r>
    </w:p>
    <w:p>
      <w:pPr>
        <w:pStyle w:val="23"/>
        <w:rPr>
          <w:rFonts w:ascii="Times New Roman"/>
          <w:szCs w:val="22"/>
        </w:rPr>
      </w:pPr>
      <w:r>
        <w:rPr>
          <w:rFonts w:hint="eastAsia" w:ascii="Times New Roman"/>
          <w:szCs w:val="22"/>
        </w:rPr>
        <w:t>式中：</w:t>
      </w:r>
    </w:p>
    <w:p>
      <w:pPr>
        <w:pStyle w:val="23"/>
        <w:rPr>
          <w:rFonts w:ascii="Times New Roman"/>
          <w:szCs w:val="22"/>
        </w:rPr>
      </w:pPr>
      <m:oMath>
        <m:r>
          <m:rPr/>
          <w:rPr>
            <w:rFonts w:hint="eastAsia" w:ascii="Cambria Math" w:hAnsi="Cambria Math"/>
            <w:szCs w:val="22"/>
          </w:rPr>
          <m:t>RE</m:t>
        </m:r>
      </m:oMath>
      <w:r>
        <w:rPr>
          <w:rFonts w:hint="eastAsia" w:ascii="Times New Roman"/>
          <w:szCs w:val="22"/>
        </w:rPr>
        <w:t xml:space="preserve"> --仪器相对误差；</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A</m:t>
            </m:r>
            <m:ctrlPr>
              <w:rPr>
                <w:rFonts w:hint="eastAsia" w:ascii="Cambria Math" w:hAnsi="Cambria Math"/>
                <w:i/>
                <w:iCs/>
                <w:szCs w:val="22"/>
              </w:rPr>
            </m:ctrlPr>
          </m:e>
          <m:sub>
            <m:r>
              <m:rPr/>
              <w:rPr>
                <w:rFonts w:hint="eastAsia" w:ascii="Cambria Math" w:hAnsi="Cambria Math"/>
                <w:szCs w:val="22"/>
              </w:rPr>
              <m:t>1</m:t>
            </m:r>
            <m:ctrlPr>
              <w:rPr>
                <w:rFonts w:hint="eastAsia" w:ascii="Cambria Math" w:hAnsi="Cambria Math"/>
                <w:i/>
                <w:iCs/>
                <w:szCs w:val="22"/>
              </w:rPr>
            </m:ctrlPr>
          </m:sub>
        </m:sSub>
      </m:oMath>
      <w:r>
        <w:rPr>
          <w:rFonts w:hint="eastAsia" w:ascii="Times New Roman"/>
          <w:szCs w:val="22"/>
        </w:rPr>
        <w:t>--系统自动测试结果，单位为毫克每升（mg/L）；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A</m:t>
            </m:r>
            <m:ctrlPr>
              <w:rPr>
                <w:rFonts w:hint="eastAsia" w:ascii="Cambria Math" w:hAnsi="Cambria Math"/>
                <w:i/>
                <w:iCs/>
                <w:szCs w:val="22"/>
              </w:rPr>
            </m:ctrlPr>
          </m:e>
          <m:sub>
            <m:r>
              <m:rPr/>
              <w:rPr>
                <w:rFonts w:hint="eastAsia" w:ascii="Cambria Math" w:hAnsi="Cambria Math"/>
                <w:szCs w:val="22"/>
              </w:rPr>
              <m:t>2</m:t>
            </m:r>
            <m:ctrlPr>
              <w:rPr>
                <w:rFonts w:hint="eastAsia" w:ascii="Cambria Math" w:hAnsi="Cambria Math"/>
                <w:i/>
                <w:iCs/>
                <w:szCs w:val="22"/>
              </w:rPr>
            </m:ctrlPr>
          </m:sub>
        </m:sSub>
      </m:oMath>
      <w:r>
        <w:rPr>
          <w:rFonts w:hint="eastAsia" w:ascii="Times New Roman"/>
          <w:szCs w:val="22"/>
        </w:rPr>
        <w:t>--人工采样仪器测试结果，单位为毫克每升（mg/L）。</w:t>
      </w:r>
    </w:p>
    <w:bookmarkEnd w:id="93"/>
    <w:p>
      <w:pPr>
        <w:pStyle w:val="49"/>
        <w:tabs>
          <w:tab w:val="left" w:pos="360"/>
        </w:tabs>
        <w:spacing w:before="312" w:after="312"/>
        <w:rPr>
          <w:szCs w:val="22"/>
        </w:rPr>
      </w:pPr>
      <w:bookmarkStart w:id="97" w:name="_Toc3417"/>
      <w:bookmarkStart w:id="98" w:name="_Toc16491"/>
      <w:bookmarkStart w:id="99" w:name="_Toc21951"/>
      <w:r>
        <w:rPr>
          <w:rFonts w:hint="eastAsia"/>
          <w:szCs w:val="22"/>
        </w:rPr>
        <w:t>实际水样比对</w:t>
      </w:r>
      <w:bookmarkEnd w:id="97"/>
    </w:p>
    <w:p>
      <w:pPr>
        <w:pStyle w:val="23"/>
        <w:rPr>
          <w:rFonts w:ascii="Times New Roman"/>
          <w:szCs w:val="22"/>
        </w:rPr>
      </w:pPr>
      <w:r>
        <w:rPr>
          <w:rFonts w:ascii="Times New Roman"/>
          <w:szCs w:val="22"/>
        </w:rPr>
        <w:t>自动监测系统采水时，在站房内人工采集源水，经预处理后取上清液送CMA实验室开展手工分析，</w:t>
      </w:r>
      <w:r>
        <w:rPr>
          <w:rFonts w:hint="eastAsia" w:ascii="Times New Roman"/>
          <w:szCs w:val="22"/>
        </w:rPr>
        <w:t>按照公式A.7</w:t>
      </w:r>
      <w:r>
        <w:rPr>
          <w:rFonts w:ascii="Times New Roman"/>
          <w:szCs w:val="22"/>
        </w:rPr>
        <w:t>计算自动监测的结果相对于实验室手工分析结果的误差（RE）。</w:t>
      </w:r>
    </w:p>
    <w:p>
      <w:pPr>
        <w:pStyle w:val="2"/>
        <w:ind w:firstLine="3360" w:firstLineChars="1600"/>
        <w:jc w:val="left"/>
      </w:pPr>
      <w:r>
        <w:rPr>
          <w:rFonts w:hint="eastAsia" w:ascii="Times New Roman"/>
          <w:szCs w:val="22"/>
        </w:rPr>
        <w:t xml:space="preserve">       </w:t>
      </w:r>
      <m:oMath>
        <m:r>
          <m:rPr/>
          <w:rPr>
            <w:rFonts w:hint="eastAsia" w:ascii="Cambria Math" w:hAnsi="Cambria Math" w:cs="Cambria Math" w:eastAsiaTheme="minorEastAsia"/>
          </w:rPr>
          <m:t>RE</m:t>
        </m:r>
        <m:r>
          <m:rPr>
            <m:sty m:val="p"/>
          </m:rPr>
          <w:rPr>
            <w:rFonts w:ascii="Cambria Math" w:hAnsi="Cambria Math" w:eastAsia="Cambria Math" w:cs="Cambria Math"/>
          </w:rPr>
          <m:t>=</m:t>
        </m:r>
        <m:f>
          <m:fPr>
            <m:ctrlPr>
              <w:rPr>
                <w:rFonts w:ascii="Cambria Math" w:hAnsi="Cambria Math" w:eastAsia="Cambria Math"/>
              </w:rPr>
            </m:ctrlPr>
          </m:fPr>
          <m:num>
            <m:sSub>
              <m:sSubPr>
                <m:ctrlPr>
                  <w:rPr>
                    <w:rFonts w:ascii="Cambria Math" w:hAnsi="Cambria Math" w:cs="Cambria Math" w:eastAsiaTheme="minorEastAsia"/>
                  </w:rPr>
                </m:ctrlPr>
              </m:sSubPr>
              <m:e>
                <m:r>
                  <m:rPr/>
                  <w:rPr>
                    <w:rFonts w:hint="eastAsia" w:ascii="Cambria Math" w:hAnsi="Cambria Math" w:cs="Cambria Math" w:eastAsiaTheme="minorEastAsia"/>
                  </w:rPr>
                  <m:t>A</m:t>
                </m:r>
                <m:ctrlPr>
                  <w:rPr>
                    <w:rFonts w:ascii="Cambria Math" w:hAnsi="Cambria Math" w:cs="Cambria Math" w:eastAsiaTheme="minorEastAsia"/>
                  </w:rPr>
                </m:ctrlPr>
              </m:e>
              <m:sub>
                <m:r>
                  <m:rPr/>
                  <w:rPr>
                    <w:rFonts w:ascii="Cambria Math" w:hAnsi="Cambria Math" w:cs="Cambria Math" w:eastAsiaTheme="minorEastAsia"/>
                  </w:rPr>
                  <m:t>1</m:t>
                </m:r>
                <m:ctrlPr>
                  <w:rPr>
                    <w:rFonts w:ascii="Cambria Math" w:hAnsi="Cambria Math" w:cs="Cambria Math" w:eastAsiaTheme="minorEastAsia"/>
                  </w:rPr>
                </m:ctrlPr>
              </m:sub>
            </m:sSub>
            <m:r>
              <m:rPr>
                <m:sty m:val="p"/>
              </m:rPr>
              <w:rPr>
                <w:rFonts w:ascii="Cambria Math" w:hAnsi="Cambria Math" w:cs="Cambria Math" w:eastAsiaTheme="minorEastAsia"/>
              </w:rPr>
              <m:t>−</m:t>
            </m:r>
            <m:sSub>
              <m:sSubPr>
                <m:ctrlPr>
                  <w:rPr>
                    <w:rFonts w:ascii="Cambria Math" w:hAnsi="Cambria Math" w:cs="Cambria Math" w:eastAsiaTheme="minorEastAsia"/>
                  </w:rPr>
                </m:ctrlPr>
              </m:sSubPr>
              <m:e>
                <m:r>
                  <m:rPr/>
                  <w:rPr>
                    <w:rFonts w:hint="eastAsia" w:ascii="Cambria Math" w:hAnsi="Cambria Math" w:cs="Cambria Math" w:eastAsiaTheme="minorEastAsia"/>
                  </w:rPr>
                  <m:t>A</m:t>
                </m:r>
                <m:ctrlPr>
                  <w:rPr>
                    <w:rFonts w:ascii="Cambria Math" w:hAnsi="Cambria Math" w:cs="Cambria Math" w:eastAsiaTheme="minorEastAsia"/>
                  </w:rPr>
                </m:ctrlPr>
              </m:e>
              <m:sub>
                <m:r>
                  <m:rPr/>
                  <w:rPr>
                    <w:rFonts w:ascii="Cambria Math" w:hAnsi="Cambria Math" w:cs="Cambria Math" w:eastAsiaTheme="minorEastAsia"/>
                  </w:rPr>
                  <m:t>2</m:t>
                </m:r>
                <m:ctrlPr>
                  <w:rPr>
                    <w:rFonts w:ascii="Cambria Math" w:hAnsi="Cambria Math" w:cs="Cambria Math" w:eastAsiaTheme="minorEastAsia"/>
                  </w:rPr>
                </m:ctrlPr>
              </m:sub>
            </m:sSub>
            <m:ctrlPr>
              <w:rPr>
                <w:rFonts w:ascii="Cambria Math" w:hAnsi="Cambria Math" w:eastAsia="Cambria Math"/>
              </w:rPr>
            </m:ctrlPr>
          </m:num>
          <m:den>
            <m:sSub>
              <m:sSubPr>
                <m:ctrlPr>
                  <w:rPr>
                    <w:rFonts w:ascii="Cambria Math" w:hAnsi="Cambria Math" w:cs="Cambria Math" w:eastAsiaTheme="minorEastAsia"/>
                  </w:rPr>
                </m:ctrlPr>
              </m:sSubPr>
              <m:e>
                <m:r>
                  <m:rPr/>
                  <w:rPr>
                    <w:rFonts w:hint="eastAsia" w:ascii="Cambria Math" w:hAnsi="Cambria Math" w:cs="Cambria Math" w:eastAsiaTheme="minorEastAsia"/>
                  </w:rPr>
                  <m:t>A</m:t>
                </m:r>
                <m:ctrlPr>
                  <w:rPr>
                    <w:rFonts w:ascii="Cambria Math" w:hAnsi="Cambria Math" w:cs="Cambria Math" w:eastAsiaTheme="minorEastAsia"/>
                  </w:rPr>
                </m:ctrlPr>
              </m:e>
              <m:sub>
                <m:r>
                  <m:rPr/>
                  <w:rPr>
                    <w:rFonts w:ascii="Cambria Math" w:hAnsi="Cambria Math" w:cs="Cambria Math" w:eastAsiaTheme="minorEastAsia"/>
                  </w:rPr>
                  <m:t>2</m:t>
                </m:r>
                <m:ctrlPr>
                  <w:rPr>
                    <w:rFonts w:ascii="Cambria Math" w:hAnsi="Cambria Math" w:cs="Cambria Math" w:eastAsiaTheme="minorEastAsia"/>
                  </w:rPr>
                </m:ctrlPr>
              </m:sub>
            </m:sSub>
            <m:ctrlPr>
              <w:rPr>
                <w:rFonts w:ascii="Cambria Math" w:hAnsi="Cambria Math" w:eastAsia="Cambria Math"/>
              </w:rPr>
            </m:ctrlPr>
          </m:den>
        </m:f>
        <m:r>
          <m:rPr/>
          <w:rPr>
            <w:rFonts w:ascii="Cambria Math" w:hAnsi="Cambria Math" w:eastAsia="Cambria Math"/>
          </w:rPr>
          <m:t>×100%</m:t>
        </m:r>
      </m:oMath>
      <w:r>
        <w:rPr>
          <w:rFonts w:hint="eastAsia"/>
        </w:rPr>
        <w:t xml:space="preserve">                 </w:t>
      </w:r>
      <w:r>
        <w:rPr>
          <w:rFonts w:hint="eastAsia" w:ascii="Times New Roman"/>
          <w:szCs w:val="22"/>
        </w:rPr>
        <w:t>（A.7）</w:t>
      </w:r>
      <w:r>
        <w:rPr>
          <w:rFonts w:hint="eastAsia"/>
        </w:rPr>
        <w:t xml:space="preserve"> </w:t>
      </w:r>
    </w:p>
    <w:p>
      <w:pPr>
        <w:pStyle w:val="23"/>
        <w:rPr>
          <w:rFonts w:ascii="Times New Roman"/>
          <w:szCs w:val="22"/>
        </w:rPr>
      </w:pPr>
      <w:r>
        <w:rPr>
          <w:rFonts w:hint="eastAsia" w:ascii="Times New Roman"/>
          <w:szCs w:val="22"/>
        </w:rPr>
        <w:t>式中：</w:t>
      </w:r>
    </w:p>
    <w:p>
      <w:pPr>
        <w:pStyle w:val="23"/>
        <w:rPr>
          <w:rFonts w:ascii="Times New Roman"/>
          <w:szCs w:val="22"/>
        </w:rPr>
      </w:pPr>
      <m:oMath>
        <m:r>
          <m:rPr/>
          <w:rPr>
            <w:rFonts w:hint="eastAsia" w:ascii="Cambria Math" w:hAnsi="Cambria Math"/>
            <w:szCs w:val="22"/>
          </w:rPr>
          <m:t>RE</m:t>
        </m:r>
      </m:oMath>
      <w:r>
        <w:rPr>
          <w:rFonts w:hint="eastAsia" w:ascii="Times New Roman"/>
          <w:szCs w:val="22"/>
        </w:rPr>
        <w:t xml:space="preserve"> --仪器相对误差；</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A</m:t>
            </m:r>
            <m:ctrlPr>
              <w:rPr>
                <w:rFonts w:hint="eastAsia" w:ascii="Cambria Math" w:hAnsi="Cambria Math"/>
                <w:i/>
                <w:iCs/>
                <w:szCs w:val="22"/>
              </w:rPr>
            </m:ctrlPr>
          </m:e>
          <m:sub>
            <m:r>
              <m:rPr/>
              <w:rPr>
                <w:rFonts w:hint="eastAsia" w:ascii="Cambria Math" w:hAnsi="Cambria Math"/>
                <w:szCs w:val="22"/>
              </w:rPr>
              <m:t>1</m:t>
            </m:r>
            <m:ctrlPr>
              <w:rPr>
                <w:rFonts w:hint="eastAsia" w:ascii="Cambria Math" w:hAnsi="Cambria Math"/>
                <w:i/>
                <w:iCs/>
                <w:szCs w:val="22"/>
              </w:rPr>
            </m:ctrlPr>
          </m:sub>
        </m:sSub>
      </m:oMath>
      <w:r>
        <w:rPr>
          <w:rFonts w:hint="eastAsia" w:ascii="Times New Roman"/>
          <w:szCs w:val="22"/>
        </w:rPr>
        <w:t>--系统自动测试结果，单位为毫克每升（mg/L）；</w:t>
      </w:r>
    </w:p>
    <w:p>
      <w:pPr>
        <w:pStyle w:val="23"/>
        <w:rPr>
          <w:rFonts w:ascii="Times New Roman"/>
          <w:szCs w:val="22"/>
        </w:rPr>
      </w:pPr>
      <m:oMath>
        <m:sSub>
          <m:sSubPr>
            <m:ctrlPr>
              <w:rPr>
                <w:rFonts w:hint="eastAsia" w:ascii="Cambria Math" w:hAnsi="Cambria Math"/>
                <w:i/>
                <w:iCs/>
                <w:szCs w:val="22"/>
              </w:rPr>
            </m:ctrlPr>
          </m:sSubPr>
          <m:e>
            <m:r>
              <m:rPr/>
              <w:rPr>
                <w:rFonts w:hint="eastAsia" w:ascii="Cambria Math" w:hAnsi="Cambria Math"/>
                <w:szCs w:val="22"/>
              </w:rPr>
              <m:t>A</m:t>
            </m:r>
            <m:ctrlPr>
              <w:rPr>
                <w:rFonts w:hint="eastAsia" w:ascii="Cambria Math" w:hAnsi="Cambria Math"/>
                <w:i/>
                <w:iCs/>
                <w:szCs w:val="22"/>
              </w:rPr>
            </m:ctrlPr>
          </m:e>
          <m:sub>
            <m:r>
              <m:rPr/>
              <w:rPr>
                <w:rFonts w:hint="eastAsia" w:ascii="Cambria Math" w:hAnsi="Cambria Math"/>
                <w:szCs w:val="22"/>
              </w:rPr>
              <m:t>2</m:t>
            </m:r>
            <m:ctrlPr>
              <w:rPr>
                <w:rFonts w:hint="eastAsia" w:ascii="Cambria Math" w:hAnsi="Cambria Math"/>
                <w:i/>
                <w:iCs/>
                <w:szCs w:val="22"/>
              </w:rPr>
            </m:ctrlPr>
          </m:sub>
        </m:sSub>
      </m:oMath>
      <w:r>
        <w:rPr>
          <w:rFonts w:hint="eastAsia" w:ascii="Times New Roman"/>
          <w:szCs w:val="22"/>
        </w:rPr>
        <w:t>--人工采样仪器测试结果，单位为毫克每升（mg/L）。</w:t>
      </w: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23"/>
        <w:rPr>
          <w:rFonts w:ascii="Times New Roman"/>
          <w:szCs w:val="22"/>
        </w:rPr>
      </w:pPr>
    </w:p>
    <w:p>
      <w:pPr>
        <w:pStyle w:val="50"/>
        <w:spacing w:after="0"/>
        <w:sectPr>
          <w:pgSz w:w="11906" w:h="16838"/>
          <w:pgMar w:top="567" w:right="1134" w:bottom="1134" w:left="1417" w:header="1417" w:footer="1134" w:gutter="0"/>
          <w:cols w:space="720" w:num="1"/>
          <w:docGrid w:type="lines" w:linePitch="312" w:charSpace="0"/>
        </w:sectPr>
      </w:pPr>
      <w:bookmarkStart w:id="100" w:name="_Toc5238"/>
      <w:bookmarkEnd w:id="100"/>
    </w:p>
    <w:p>
      <w:pPr>
        <w:pStyle w:val="50"/>
        <w:spacing w:after="0"/>
      </w:pPr>
    </w:p>
    <w:p>
      <w:pPr>
        <w:pStyle w:val="2"/>
        <w:ind w:firstLine="0" w:firstLineChars="0"/>
        <w:jc w:val="center"/>
        <w:rPr>
          <w:rFonts w:hint="eastAsia" w:ascii="黑体" w:hAnsi="黑体" w:eastAsia="黑体"/>
          <w:szCs w:val="21"/>
        </w:rPr>
      </w:pPr>
      <w:r>
        <w:rPr>
          <w:rFonts w:hint="eastAsia" w:ascii="黑体" w:hAnsi="黑体" w:eastAsia="黑体"/>
          <w:szCs w:val="21"/>
        </w:rPr>
        <w:t>（规范性）</w:t>
      </w:r>
    </w:p>
    <w:bookmarkEnd w:id="98"/>
    <w:bookmarkEnd w:id="99"/>
    <w:p>
      <w:pPr>
        <w:widowControl/>
        <w:jc w:val="center"/>
        <w:rPr>
          <w:rFonts w:ascii="Times New Roman" w:hAnsi="Times New Roman" w:eastAsia="黑体"/>
          <w:szCs w:val="21"/>
        </w:rPr>
      </w:pPr>
      <w:bookmarkStart w:id="101" w:name="_Toc13618"/>
      <w:bookmarkEnd w:id="101"/>
      <w:r>
        <w:rPr>
          <w:rFonts w:hint="eastAsia" w:ascii="Times New Roman" w:hAnsi="Times New Roman" w:eastAsia="黑体"/>
          <w:szCs w:val="21"/>
        </w:rPr>
        <w:t>监测数据有效位数修约要求</w:t>
      </w:r>
    </w:p>
    <w:p>
      <w:pPr>
        <w:pStyle w:val="23"/>
      </w:pPr>
      <w:r>
        <w:rPr>
          <w:rFonts w:hint="eastAsia" w:hAnsi="宋体"/>
          <w:color w:val="000000"/>
        </w:rPr>
        <w:t>监测数据有效位数修约要求</w:t>
      </w:r>
      <w:r>
        <w:rPr>
          <w:rFonts w:hAnsi="宋体"/>
          <w:color w:val="000000"/>
        </w:rPr>
        <w:t>见表</w:t>
      </w:r>
      <w:r>
        <w:rPr>
          <w:rFonts w:hint="eastAsia" w:ascii="Times New Roman"/>
          <w:color w:val="000000"/>
        </w:rPr>
        <w:t>B</w:t>
      </w:r>
      <w:r>
        <w:rPr>
          <w:rFonts w:ascii="Times New Roman" w:eastAsia="Times New Roman"/>
          <w:color w:val="000000"/>
        </w:rPr>
        <w:t>.1</w:t>
      </w:r>
      <w:r>
        <w:rPr>
          <w:rFonts w:hAnsi="宋体"/>
          <w:color w:val="000000"/>
        </w:rPr>
        <w:t>。</w:t>
      </w:r>
    </w:p>
    <w:p>
      <w:pPr>
        <w:pStyle w:val="23"/>
        <w:ind w:firstLine="0" w:firstLineChars="0"/>
        <w:jc w:val="center"/>
        <w:rPr>
          <w:rFonts w:ascii="黑体" w:eastAsia="黑体"/>
          <w:color w:val="FF0000"/>
          <w:highlight w:val="green"/>
        </w:rPr>
      </w:pPr>
      <w:r>
        <w:rPr>
          <w:rFonts w:hint="eastAsia" w:ascii="黑体" w:eastAsia="黑体"/>
        </w:rPr>
        <w:t>表 B.1  监测数据有效位数修约要求</w:t>
      </w:r>
    </w:p>
    <w:tbl>
      <w:tblPr>
        <w:tblStyle w:val="14"/>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585"/>
        <w:gridCol w:w="2770"/>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182" w:type="dxa"/>
            <w:gridSpan w:val="3"/>
            <w:tcBorders>
              <w:top w:val="single" w:color="auto" w:sz="12" w:space="0"/>
              <w:left w:val="single" w:color="auto" w:sz="12" w:space="0"/>
              <w:bottom w:val="single" w:color="auto" w:sz="12" w:space="0"/>
            </w:tcBorders>
            <w:vAlign w:val="center"/>
          </w:tcPr>
          <w:p>
            <w:pPr>
              <w:pStyle w:val="2"/>
              <w:ind w:firstLine="360"/>
              <w:jc w:val="center"/>
              <w:rPr>
                <w:rFonts w:ascii="Times New Roman" w:hAnsi="Times New Roman"/>
                <w:sz w:val="18"/>
                <w:szCs w:val="18"/>
              </w:rPr>
            </w:pPr>
            <w:r>
              <w:rPr>
                <w:rFonts w:ascii="Times New Roman" w:hAnsi="Times New Roman"/>
                <w:sz w:val="18"/>
                <w:szCs w:val="18"/>
              </w:rPr>
              <w:t>项目</w:t>
            </w:r>
          </w:p>
        </w:tc>
        <w:tc>
          <w:tcPr>
            <w:tcW w:w="2389" w:type="dxa"/>
            <w:tcBorders>
              <w:top w:val="single" w:color="auto" w:sz="12" w:space="0"/>
              <w:bottom w:val="single" w:color="auto" w:sz="12" w:space="0"/>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保留小数位数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restart"/>
            <w:tcBorders>
              <w:top w:val="single" w:color="auto" w:sz="12" w:space="0"/>
              <w:lef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监测数据</w:t>
            </w:r>
          </w:p>
        </w:tc>
        <w:tc>
          <w:tcPr>
            <w:tcW w:w="5355" w:type="dxa"/>
            <w:gridSpan w:val="2"/>
            <w:tcBorders>
              <w:top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水温（℃）</w:t>
            </w:r>
          </w:p>
        </w:tc>
        <w:tc>
          <w:tcPr>
            <w:tcW w:w="2389" w:type="dxa"/>
            <w:tcBorders>
              <w:top w:val="single" w:color="auto" w:sz="12" w:space="0"/>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pH（无量纲）</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溶解氧（mg/L）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电导率（μS/cm）</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浊度（NTU）</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高锰酸盐指数（mg/L）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氨氮（mg/L）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总磷（mg/L）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总氮（mg/L）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化学需氧量（mg/L）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挥发酚（mg/L）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石油类（mg/L）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铜（mg/L）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铅（mg/L）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锌（mg/L）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镉（mg/L）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shd w:val="clear" w:color="auto" w:fill="FFFFFF" w:themeFill="background1"/>
            <w:vAlign w:val="center"/>
          </w:tcPr>
          <w:p>
            <w:pPr>
              <w:pStyle w:val="2"/>
              <w:ind w:firstLine="0" w:firstLineChars="0"/>
              <w:jc w:val="center"/>
              <w:rPr>
                <w:rFonts w:ascii="Times New Roman" w:hAnsi="Times New Roman"/>
                <w:sz w:val="18"/>
                <w:szCs w:val="18"/>
              </w:rPr>
            </w:pPr>
            <w:r>
              <w:rPr>
                <w:rFonts w:ascii="Times New Roman" w:hAnsi="Times New Roman"/>
                <w:sz w:val="18"/>
                <w:szCs w:val="18"/>
              </w:rPr>
              <w:t>锑（μg/L）</w:t>
            </w:r>
          </w:p>
        </w:tc>
        <w:tc>
          <w:tcPr>
            <w:tcW w:w="2389" w:type="dxa"/>
            <w:tcBorders>
              <w:right w:val="single" w:color="auto" w:sz="12" w:space="0"/>
            </w:tcBorders>
            <w:shd w:val="clear" w:color="auto" w:fill="FFFFFF" w:themeFill="background1"/>
            <w:vAlign w:val="center"/>
          </w:tcPr>
          <w:p>
            <w:pPr>
              <w:pStyle w:val="2"/>
              <w:ind w:firstLine="0" w:firstLineChars="0"/>
              <w:jc w:val="center"/>
              <w:rPr>
                <w:rFonts w:ascii="Times New Roman" w:hAnsi="Times New Roman"/>
                <w:sz w:val="18"/>
                <w:szCs w:val="18"/>
              </w:rPr>
            </w:pPr>
            <w:r>
              <w:rPr>
                <w:rFonts w:ascii="Times New Roman" w:hAnsi="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shd w:val="clear" w:color="auto" w:fill="FFFFFF" w:themeFill="background1"/>
            <w:vAlign w:val="center"/>
          </w:tcPr>
          <w:p>
            <w:pPr>
              <w:pStyle w:val="2"/>
              <w:ind w:firstLine="0" w:firstLineChars="0"/>
              <w:jc w:val="center"/>
              <w:rPr>
                <w:rFonts w:ascii="Times New Roman" w:hAnsi="Times New Roman"/>
                <w:sz w:val="18"/>
                <w:szCs w:val="18"/>
              </w:rPr>
            </w:pPr>
            <w:r>
              <w:rPr>
                <w:rFonts w:ascii="Times New Roman" w:hAnsi="Times New Roman"/>
                <w:sz w:val="18"/>
                <w:szCs w:val="18"/>
              </w:rPr>
              <w:t>铊（μg/L）</w:t>
            </w:r>
          </w:p>
        </w:tc>
        <w:tc>
          <w:tcPr>
            <w:tcW w:w="2389" w:type="dxa"/>
            <w:tcBorders>
              <w:right w:val="single" w:color="auto" w:sz="12" w:space="0"/>
            </w:tcBorders>
            <w:shd w:val="clear" w:color="auto" w:fill="FFFFFF" w:themeFill="background1"/>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叶绿素a（mg/L）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藻密度（个/L）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restart"/>
            <w:tcBorders>
              <w:lef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质控结果</w:t>
            </w:r>
          </w:p>
        </w:tc>
        <w:tc>
          <w:tcPr>
            <w:tcW w:w="2585" w:type="dxa"/>
            <w:vMerge w:val="restart"/>
            <w:vAlign w:val="center"/>
          </w:tcPr>
          <w:p>
            <w:pPr>
              <w:pStyle w:val="2"/>
              <w:ind w:firstLine="0" w:firstLineChars="0"/>
              <w:jc w:val="center"/>
              <w:rPr>
                <w:rFonts w:ascii="Times New Roman" w:hAnsi="Times New Roman"/>
                <w:sz w:val="18"/>
                <w:szCs w:val="18"/>
              </w:rPr>
            </w:pPr>
            <w:r>
              <w:rPr>
                <w:rFonts w:ascii="Times New Roman" w:hAnsi="Times New Roman"/>
                <w:sz w:val="18"/>
                <w:szCs w:val="18"/>
              </w:rPr>
              <w:t>绝对误差</w:t>
            </w:r>
          </w:p>
        </w:tc>
        <w:tc>
          <w:tcPr>
            <w:tcW w:w="2770" w:type="dxa"/>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水温（℃）</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2585" w:type="dxa"/>
            <w:vMerge w:val="continue"/>
            <w:vAlign w:val="center"/>
          </w:tcPr>
          <w:p>
            <w:pPr>
              <w:pStyle w:val="2"/>
              <w:ind w:firstLine="360"/>
              <w:jc w:val="center"/>
              <w:rPr>
                <w:rFonts w:ascii="Times New Roman" w:hAnsi="Times New Roman"/>
                <w:sz w:val="18"/>
                <w:szCs w:val="18"/>
              </w:rPr>
            </w:pPr>
          </w:p>
        </w:tc>
        <w:tc>
          <w:tcPr>
            <w:tcW w:w="2770" w:type="dxa"/>
            <w:vAlign w:val="center"/>
          </w:tcPr>
          <w:p>
            <w:pPr>
              <w:pStyle w:val="2"/>
              <w:ind w:firstLine="0" w:firstLineChars="0"/>
              <w:jc w:val="center"/>
              <w:rPr>
                <w:rFonts w:ascii="Times New Roman" w:hAnsi="Times New Roman"/>
                <w:sz w:val="18"/>
                <w:szCs w:val="18"/>
              </w:rPr>
            </w:pPr>
            <w:r>
              <w:rPr>
                <w:rFonts w:ascii="Times New Roman" w:hAnsi="Times New Roman"/>
                <w:sz w:val="18"/>
                <w:szCs w:val="18"/>
              </w:rPr>
              <w:t>pH（无量纲）</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2585" w:type="dxa"/>
            <w:vMerge w:val="continue"/>
            <w:vAlign w:val="center"/>
          </w:tcPr>
          <w:p>
            <w:pPr>
              <w:pStyle w:val="2"/>
              <w:ind w:firstLine="360"/>
              <w:jc w:val="center"/>
              <w:rPr>
                <w:rFonts w:ascii="Times New Roman" w:hAnsi="Times New Roman"/>
                <w:sz w:val="18"/>
                <w:szCs w:val="18"/>
              </w:rPr>
            </w:pPr>
          </w:p>
        </w:tc>
        <w:tc>
          <w:tcPr>
            <w:tcW w:w="2770" w:type="dxa"/>
            <w:vAlign w:val="center"/>
          </w:tcPr>
          <w:p>
            <w:pPr>
              <w:pStyle w:val="2"/>
              <w:ind w:firstLine="0" w:firstLineChars="0"/>
              <w:jc w:val="center"/>
              <w:rPr>
                <w:rFonts w:ascii="Times New Roman" w:hAnsi="Times New Roman"/>
                <w:sz w:val="18"/>
                <w:szCs w:val="18"/>
              </w:rPr>
            </w:pPr>
            <w:r>
              <w:rPr>
                <w:rFonts w:ascii="Times New Roman" w:hAnsi="Times New Roman"/>
                <w:sz w:val="18"/>
                <w:szCs w:val="18"/>
              </w:rPr>
              <w:t>溶解氧（mg/L）</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绝对误差</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相对误差（%）</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827" w:type="dxa"/>
            <w:vMerge w:val="continue"/>
            <w:tcBorders>
              <w:left w:val="single" w:color="auto" w:sz="12" w:space="0"/>
            </w:tcBorders>
            <w:vAlign w:val="center"/>
          </w:tcPr>
          <w:p>
            <w:pPr>
              <w:pStyle w:val="2"/>
              <w:ind w:firstLine="360"/>
              <w:jc w:val="center"/>
              <w:rPr>
                <w:rFonts w:ascii="Times New Roman" w:hAnsi="Times New Roman"/>
                <w:sz w:val="18"/>
                <w:szCs w:val="18"/>
              </w:rPr>
            </w:pPr>
          </w:p>
        </w:tc>
        <w:tc>
          <w:tcPr>
            <w:tcW w:w="5355" w:type="dxa"/>
            <w:gridSpan w:val="2"/>
            <w:vAlign w:val="center"/>
          </w:tcPr>
          <w:p>
            <w:pPr>
              <w:pStyle w:val="2"/>
              <w:ind w:firstLine="0" w:firstLineChars="0"/>
              <w:jc w:val="center"/>
              <w:rPr>
                <w:rFonts w:ascii="Times New Roman" w:hAnsi="Times New Roman"/>
                <w:sz w:val="18"/>
                <w:szCs w:val="18"/>
              </w:rPr>
            </w:pPr>
            <w:r>
              <w:rPr>
                <w:rFonts w:ascii="Times New Roman" w:hAnsi="Times New Roman"/>
                <w:sz w:val="18"/>
                <w:szCs w:val="18"/>
              </w:rPr>
              <w:t>相关系数</w:t>
            </w:r>
          </w:p>
        </w:tc>
        <w:tc>
          <w:tcPr>
            <w:tcW w:w="2389" w:type="dxa"/>
            <w:tcBorders>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1827" w:type="dxa"/>
            <w:vMerge w:val="continue"/>
            <w:tcBorders>
              <w:left w:val="single" w:color="auto" w:sz="12" w:space="0"/>
              <w:bottom w:val="single" w:color="auto" w:sz="12" w:space="0"/>
            </w:tcBorders>
            <w:vAlign w:val="center"/>
          </w:tcPr>
          <w:p>
            <w:pPr>
              <w:pStyle w:val="2"/>
              <w:ind w:firstLine="360"/>
              <w:jc w:val="center"/>
              <w:rPr>
                <w:rFonts w:ascii="Times New Roman" w:hAnsi="Times New Roman"/>
                <w:sz w:val="18"/>
                <w:szCs w:val="18"/>
              </w:rPr>
            </w:pPr>
          </w:p>
        </w:tc>
        <w:tc>
          <w:tcPr>
            <w:tcW w:w="5355" w:type="dxa"/>
            <w:gridSpan w:val="2"/>
            <w:tcBorders>
              <w:bottom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加标回收率（%）</w:t>
            </w:r>
          </w:p>
        </w:tc>
        <w:tc>
          <w:tcPr>
            <w:tcW w:w="2389" w:type="dxa"/>
            <w:tcBorders>
              <w:bottom w:val="single" w:color="auto" w:sz="12" w:space="0"/>
              <w:right w:val="single" w:color="auto" w:sz="12" w:space="0"/>
            </w:tcBorders>
            <w:vAlign w:val="center"/>
          </w:tcPr>
          <w:p>
            <w:pPr>
              <w:pStyle w:val="2"/>
              <w:ind w:firstLine="0" w:firstLineChars="0"/>
              <w:jc w:val="center"/>
              <w:rPr>
                <w:rFonts w:ascii="Times New Roman" w:hAnsi="Times New Roman"/>
                <w:sz w:val="18"/>
                <w:szCs w:val="18"/>
              </w:rPr>
            </w:pPr>
            <w:r>
              <w:rPr>
                <w:rFonts w:ascii="Times New Roman" w:hAnsi="Times New Roman"/>
                <w:sz w:val="18"/>
                <w:szCs w:val="18"/>
              </w:rPr>
              <w:t>0</w:t>
            </w:r>
          </w:p>
        </w:tc>
      </w:tr>
    </w:tbl>
    <w:p>
      <w:pPr>
        <w:widowControl/>
        <w:spacing w:line="480" w:lineRule="auto"/>
        <w:jc w:val="center"/>
        <w:outlineLvl w:val="0"/>
        <w:rPr>
          <w:rFonts w:ascii="Times New Roman" w:hAnsi="Times New Roman" w:eastAsia="黑体"/>
          <w:szCs w:val="21"/>
        </w:rPr>
      </w:pPr>
    </w:p>
    <w:p>
      <w:pPr>
        <w:pStyle w:val="2"/>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1442720</wp:posOffset>
                </wp:positionH>
                <wp:positionV relativeFrom="paragraph">
                  <wp:posOffset>145415</wp:posOffset>
                </wp:positionV>
                <wp:extent cx="2476500" cy="635"/>
                <wp:effectExtent l="0" t="0" r="0" b="0"/>
                <wp:wrapNone/>
                <wp:docPr id="5" name="直线 18"/>
                <wp:cNvGraphicFramePr/>
                <a:graphic xmlns:a="http://schemas.openxmlformats.org/drawingml/2006/main">
                  <a:graphicData uri="http://schemas.microsoft.com/office/word/2010/wordprocessingShape">
                    <wps:wsp>
                      <wps:cNvCnPr/>
                      <wps:spPr>
                        <a:xfrm>
                          <a:off x="0" y="0"/>
                          <a:ext cx="24765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113.6pt;margin-top:11.45pt;height:0.05pt;width:195pt;z-index:251664384;mso-width-relative:page;mso-height-relative:page;" filled="f" stroked="t" coordsize="21600,21600" o:gfxdata="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DrgGaNYAAAAJAQAADwAAAAAA&#10;AAABACAAAAA4AAAAZHJzL2Rvd25yZXYueG1sUEsBAhQAFAAAAAgAh07iQFNxSoTGAQAAhAMAAA4A&#10;AAAAAAAAAQAgAAAAOwEAAGRycy9lMm9Eb2MueG1sUEsFBgAAAAAGAAYAWQEAAHMFAAAAAA==&#10;">
                <v:fill on="f" focussize="0,0"/>
                <v:stroke color="#000000" joinstyle="round"/>
                <v:imagedata o:title=""/>
                <o:lock v:ext="edit" aspectratio="f"/>
              </v:line>
            </w:pict>
          </mc:Fallback>
        </mc:AlternateContent>
      </w:r>
    </w:p>
    <w:sectPr>
      <w:pgSz w:w="11906" w:h="16838"/>
      <w:pgMar w:top="567" w:right="1134" w:bottom="1134" w:left="1417" w:header="141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Mincho">
    <w:altName w:val="方正书宋_GBK"/>
    <w:panose1 w:val="02020609040205080304"/>
    <w:charset w:val="80"/>
    <w:family w:val="modern"/>
    <w:pitch w:val="default"/>
    <w:sig w:usb0="00000000" w:usb1="00000000" w:usb2="08000012" w:usb3="00000000" w:csb0="0002009F" w:csb1="00000000"/>
  </w:font>
  <w:font w:name="Segoe UI">
    <w:altName w:val="Noto Music"/>
    <w:panose1 w:val="020B0502040204020203"/>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34"/>
        <w:tab w:val="clear" w:pos="4153"/>
      </w:tabs>
      <w:rPr>
        <w:rFonts w:hint="eastAsia" w:ascii="宋体" w:hAnsi="宋体" w:cs="宋体"/>
        <w:sz w:val="15"/>
        <w:szCs w:val="15"/>
      </w:rPr>
    </w:pPr>
    <w:r>
      <w:rPr>
        <w:rFonts w:hint="eastAsia" w:ascii="宋体" w:hAnsi="宋体" w:cs="宋体"/>
        <w:sz w:val="15"/>
        <w:szCs w:val="1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-134620</wp:posOffset>
              </wp:positionV>
              <wp:extent cx="57785" cy="278765"/>
              <wp:effectExtent l="0" t="0" r="0" b="0"/>
              <wp:wrapNone/>
              <wp:docPr id="7" name="文本框 3"/>
              <wp:cNvGraphicFramePr/>
              <a:graphic xmlns:a="http://schemas.openxmlformats.org/drawingml/2006/main">
                <a:graphicData uri="http://schemas.microsoft.com/office/word/2010/wordprocessingShape">
                  <wps:wsp>
                    <wps:cNvSpPr txBox="true"/>
                    <wps:spPr>
                      <a:xfrm>
                        <a:off x="0" y="0"/>
                        <a:ext cx="57785" cy="278765"/>
                      </a:xfrm>
                      <a:prstGeom prst="rect">
                        <a:avLst/>
                      </a:prstGeom>
                      <a:noFill/>
                      <a:ln>
                        <a:noFill/>
                      </a:ln>
                    </wps:spPr>
                    <wps:txbx>
                      <w:txbxContent>
                        <w:p>
                          <w:pPr>
                            <w:pStyle w:val="47"/>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10.6pt;height:21.95pt;width:4.5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E5BqljSAAAABQEAAA8AAAAAAAAAAQAgAAAAOAAAAGRycy9kb3ducmV2LnhtbFBL&#10;AQIUABQAAAAIAIdO4kA+ykX8rQEAAD8DAAAOAAAAAAAAAAEAIAAAADcBAABkcnMvZTJvRG9jLnht&#10;bFBLBQYAAAAABgAGAFkBAABWBQAAAAA=&#10;">
              <v:fill on="f" focussize="0,0"/>
              <v:stroke on="f"/>
              <v:imagedata o:title=""/>
              <o:lock v:ext="edit" aspectratio="f"/>
              <v:textbox inset="0mm,0mm,0mm,0mm" style="mso-fit-shape-to-text:t;">
                <w:txbxContent>
                  <w:p>
                    <w:pPr>
                      <w:pStyle w:val="47"/>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r>
      <w:rPr>
        <w:rFonts w:hint="eastAsia" w:ascii="宋体" w:hAnsi="宋体" w:cs="宋体"/>
        <w:sz w:val="15"/>
        <w:szCs w:val="15"/>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635</wp:posOffset>
              </wp:positionV>
              <wp:extent cx="214630" cy="222885"/>
              <wp:effectExtent l="0" t="0" r="0" b="0"/>
              <wp:wrapNone/>
              <wp:docPr id="9" name="文本框 4"/>
              <wp:cNvGraphicFramePr/>
              <a:graphic xmlns:a="http://schemas.openxmlformats.org/drawingml/2006/main">
                <a:graphicData uri="http://schemas.microsoft.com/office/word/2010/wordprocessingShape">
                  <wps:wsp>
                    <wps:cNvSpPr txBox="true"/>
                    <wps:spPr>
                      <a:xfrm>
                        <a:off x="0" y="0"/>
                        <a:ext cx="214685" cy="222636"/>
                      </a:xfrm>
                      <a:prstGeom prst="rect">
                        <a:avLst/>
                      </a:prstGeom>
                      <a:noFill/>
                      <a:ln>
                        <a:noFill/>
                      </a:ln>
                    </wps:spPr>
                    <wps:txbx>
                      <w:txbxContent>
                        <w:p>
                          <w:pPr>
                            <w:pStyle w:val="8"/>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p>
                      </w:txbxContent>
                    </wps:txbx>
                    <wps:bodyPr vert="horz" wrap="square" lIns="0" tIns="0" rIns="0" bIns="0" anchor="t" anchorCtr="false">
                      <a:noAutofit/>
                    </wps:bodyPr>
                  </wps:wsp>
                </a:graphicData>
              </a:graphic>
            </wp:anchor>
          </w:drawing>
        </mc:Choice>
        <mc:Fallback>
          <w:pict>
            <v:shape id="文本框 4" o:spid="_x0000_s1026" o:spt="202" type="#_x0000_t202" style="position:absolute;left:0pt;margin-top:0.05pt;height:17.55pt;width:16.9pt;mso-position-horizontal:outside;mso-position-horizontal-relative:margin;z-index:251661312;mso-width-relative:page;mso-height-relative:page;" filled="f" stroked="f" coordsize="21600,21600" o:gfxdata="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Vtb4uNQAAAADAQAADwAAAAAA&#10;AAABACAAAAA4AAAAZHJzL2Rvd25yZXYueG1sUEsBAhQAFAAAAAgAh07iQL/3hLnIAQAAawMAAA4A&#10;AAAAAAAAAQAgAAAAOQEAAGRycy9lMm9Eb2MueG1sUEsFBgAAAAAGAAYAWQEAAHMFAAAAAA==&#10;">
              <v:fill on="f" focussize="0,0"/>
              <v:stroke on="f"/>
              <v:imagedata o:title=""/>
              <o:lock v:ext="edit" aspectratio="f"/>
              <v:textbox inset="0mm,0mm,0mm,0mm">
                <w:txbxContent>
                  <w:p>
                    <w:pPr>
                      <w:pStyle w:val="8"/>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74625" cy="170815"/>
              <wp:effectExtent l="0" t="0" r="0" b="635"/>
              <wp:wrapNone/>
              <wp:docPr id="10" name="文本框 10"/>
              <wp:cNvGraphicFramePr/>
              <a:graphic xmlns:a="http://schemas.openxmlformats.org/drawingml/2006/main">
                <a:graphicData uri="http://schemas.microsoft.com/office/word/2010/wordprocessingShape">
                  <wps:wsp>
                    <wps:cNvSpPr txBox="true"/>
                    <wps:spPr>
                      <a:xfrm>
                        <a:off x="0" y="0"/>
                        <a:ext cx="174929" cy="1709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3.45pt;width:13.75pt;mso-position-horizontal:outside;mso-position-horizontal-relative:margin;z-index:251662336;mso-width-relative:page;mso-height-relative:page;" filled="f" stroked="f" coordsize="21600,21600" o:gfxdata="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87+sKtMAAAADAQAADwAAAAAAAAABACAAAAA4AAAAZHJzL2Rvd25yZXYueG1sUEsB&#10;AhQAFAAAAAgAh07iQAYdKTwdAgAAGwQAAA4AAAAAAAAAAQAgAAAAOAEAAGRycy9lMm9Eb2MueG1s&#10;UEsFBgAAAAAGAAYAWQEAAMcFAAAAAA==&#10;">
              <v:fill on="f" focussize="0,0"/>
              <v:stroke on="f" weight="0.5pt"/>
              <v:imagedata o:title=""/>
              <o:lock v:ext="edit" aspectratio="f"/>
              <v:textbox inset="0mm,0mm,0mm,0mm">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30"/>
        <w:szCs w:val="30"/>
      </w:rPr>
    </w:pPr>
    <w:r>
      <w:rPr>
        <w:rFonts w:hint="eastAsia"/>
        <w:sz w:val="30"/>
        <w:szCs w:val="30"/>
      </w:rPr>
      <w:t>DB 61/T xxxxx-2024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t>DB61/T XXXXX—202</w:t>
    </w:r>
    <w:r>
      <w:rPr>
        <w:rFonts w:hint="eastAsia"/>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rPr>
        <w:sz w:val="30"/>
        <w:szCs w:val="30"/>
      </w:rPr>
    </w:pPr>
    <w:r>
      <w:t>DB</w:t>
    </w:r>
    <w:r>
      <w:rPr>
        <w:rFonts w:hint="eastAsia"/>
      </w:rPr>
      <w:t>61</w:t>
    </w:r>
    <w:r>
      <w:t>/</w:t>
    </w:r>
    <w:r>
      <w:rPr>
        <w:rFonts w:hint="eastAsia"/>
      </w:rPr>
      <w:t>T</w:t>
    </w:r>
    <w:r>
      <w:t xml:space="preserve"> XXXXX—</w:t>
    </w:r>
    <w:r>
      <w:rPr>
        <w:rFonts w:hint="eastAsia"/>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41"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4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57D3FBC"/>
    <w:multiLevelType w:val="multilevel"/>
    <w:tmpl w:val="657D3FBC"/>
    <w:lvl w:ilvl="0" w:tentative="0">
      <w:start w:val="1"/>
      <w:numFmt w:val="upperLetter"/>
      <w:pStyle w:val="5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 w:name="KSO_WPS_MARK_KEY" w:val="87bbdf31-cce1-4570-9bd4-ce8c9833b69f"/>
  </w:docVars>
  <w:rsids>
    <w:rsidRoot w:val="00E42518"/>
    <w:rsid w:val="00012575"/>
    <w:rsid w:val="00034D80"/>
    <w:rsid w:val="000432C4"/>
    <w:rsid w:val="000446AD"/>
    <w:rsid w:val="000461A8"/>
    <w:rsid w:val="00060435"/>
    <w:rsid w:val="00070B54"/>
    <w:rsid w:val="000731DC"/>
    <w:rsid w:val="00091EA1"/>
    <w:rsid w:val="0009443D"/>
    <w:rsid w:val="000967DD"/>
    <w:rsid w:val="000976C1"/>
    <w:rsid w:val="000A104B"/>
    <w:rsid w:val="000A3404"/>
    <w:rsid w:val="000C1110"/>
    <w:rsid w:val="000F0C13"/>
    <w:rsid w:val="000F7BA8"/>
    <w:rsid w:val="00104E88"/>
    <w:rsid w:val="001113E8"/>
    <w:rsid w:val="0011169A"/>
    <w:rsid w:val="00117B28"/>
    <w:rsid w:val="00126C2F"/>
    <w:rsid w:val="0013782A"/>
    <w:rsid w:val="00146DE9"/>
    <w:rsid w:val="0016352B"/>
    <w:rsid w:val="00186588"/>
    <w:rsid w:val="001956E5"/>
    <w:rsid w:val="00197396"/>
    <w:rsid w:val="001A1C05"/>
    <w:rsid w:val="001D15F8"/>
    <w:rsid w:val="001D70F1"/>
    <w:rsid w:val="001F4475"/>
    <w:rsid w:val="002035C4"/>
    <w:rsid w:val="00222072"/>
    <w:rsid w:val="00277C0B"/>
    <w:rsid w:val="00281B5D"/>
    <w:rsid w:val="002835EE"/>
    <w:rsid w:val="002948CB"/>
    <w:rsid w:val="00295861"/>
    <w:rsid w:val="00295EE7"/>
    <w:rsid w:val="002A72A6"/>
    <w:rsid w:val="002A7B7A"/>
    <w:rsid w:val="002B46CC"/>
    <w:rsid w:val="002B6303"/>
    <w:rsid w:val="002C2420"/>
    <w:rsid w:val="002E277F"/>
    <w:rsid w:val="002F0473"/>
    <w:rsid w:val="002F0882"/>
    <w:rsid w:val="002F4171"/>
    <w:rsid w:val="003050A6"/>
    <w:rsid w:val="00312673"/>
    <w:rsid w:val="00321DAA"/>
    <w:rsid w:val="0032571D"/>
    <w:rsid w:val="003314D3"/>
    <w:rsid w:val="003328D8"/>
    <w:rsid w:val="00336C97"/>
    <w:rsid w:val="003421C8"/>
    <w:rsid w:val="00346B6A"/>
    <w:rsid w:val="00347A25"/>
    <w:rsid w:val="00367174"/>
    <w:rsid w:val="00371A56"/>
    <w:rsid w:val="00391ADF"/>
    <w:rsid w:val="003958DF"/>
    <w:rsid w:val="003A0F57"/>
    <w:rsid w:val="003B399E"/>
    <w:rsid w:val="003C2DE4"/>
    <w:rsid w:val="003C3A2A"/>
    <w:rsid w:val="003E43A2"/>
    <w:rsid w:val="003F04E2"/>
    <w:rsid w:val="003F6186"/>
    <w:rsid w:val="0040461C"/>
    <w:rsid w:val="004232B8"/>
    <w:rsid w:val="0045404D"/>
    <w:rsid w:val="004659A7"/>
    <w:rsid w:val="00465AED"/>
    <w:rsid w:val="00476137"/>
    <w:rsid w:val="00480235"/>
    <w:rsid w:val="0048416C"/>
    <w:rsid w:val="004929E7"/>
    <w:rsid w:val="00494618"/>
    <w:rsid w:val="004A2EC6"/>
    <w:rsid w:val="004B1A95"/>
    <w:rsid w:val="004B27CD"/>
    <w:rsid w:val="004F0A37"/>
    <w:rsid w:val="00501B1D"/>
    <w:rsid w:val="00517286"/>
    <w:rsid w:val="00521176"/>
    <w:rsid w:val="005211AA"/>
    <w:rsid w:val="00557B77"/>
    <w:rsid w:val="005656C6"/>
    <w:rsid w:val="0057594B"/>
    <w:rsid w:val="00595648"/>
    <w:rsid w:val="00596AB7"/>
    <w:rsid w:val="005A367F"/>
    <w:rsid w:val="005B7246"/>
    <w:rsid w:val="005C4035"/>
    <w:rsid w:val="00603AC9"/>
    <w:rsid w:val="0063110D"/>
    <w:rsid w:val="0063129F"/>
    <w:rsid w:val="00644601"/>
    <w:rsid w:val="00647787"/>
    <w:rsid w:val="0064784F"/>
    <w:rsid w:val="00660C59"/>
    <w:rsid w:val="00661FFA"/>
    <w:rsid w:val="00673AC3"/>
    <w:rsid w:val="00680C86"/>
    <w:rsid w:val="006867C4"/>
    <w:rsid w:val="00695320"/>
    <w:rsid w:val="00697C17"/>
    <w:rsid w:val="006B1165"/>
    <w:rsid w:val="006C6267"/>
    <w:rsid w:val="006D6934"/>
    <w:rsid w:val="006E2007"/>
    <w:rsid w:val="006E342B"/>
    <w:rsid w:val="006E4A6B"/>
    <w:rsid w:val="006E66C8"/>
    <w:rsid w:val="006F7B77"/>
    <w:rsid w:val="00706F88"/>
    <w:rsid w:val="00713B9B"/>
    <w:rsid w:val="00722CBA"/>
    <w:rsid w:val="00731F3B"/>
    <w:rsid w:val="00744733"/>
    <w:rsid w:val="00762711"/>
    <w:rsid w:val="00792A68"/>
    <w:rsid w:val="007C1003"/>
    <w:rsid w:val="007C2E79"/>
    <w:rsid w:val="007C74B5"/>
    <w:rsid w:val="007D19BB"/>
    <w:rsid w:val="007D1FCE"/>
    <w:rsid w:val="007D2B01"/>
    <w:rsid w:val="007D38E8"/>
    <w:rsid w:val="007F04DB"/>
    <w:rsid w:val="007F4ACB"/>
    <w:rsid w:val="007F7C2A"/>
    <w:rsid w:val="00811C61"/>
    <w:rsid w:val="00831F63"/>
    <w:rsid w:val="008367C1"/>
    <w:rsid w:val="00842919"/>
    <w:rsid w:val="00843ACB"/>
    <w:rsid w:val="00854184"/>
    <w:rsid w:val="0086244E"/>
    <w:rsid w:val="00867633"/>
    <w:rsid w:val="008806FF"/>
    <w:rsid w:val="00881BE0"/>
    <w:rsid w:val="008C6EA6"/>
    <w:rsid w:val="008D0BFF"/>
    <w:rsid w:val="008F123B"/>
    <w:rsid w:val="008F46B3"/>
    <w:rsid w:val="00905A0C"/>
    <w:rsid w:val="00923C7F"/>
    <w:rsid w:val="009423D5"/>
    <w:rsid w:val="00943EE8"/>
    <w:rsid w:val="00943F71"/>
    <w:rsid w:val="00946356"/>
    <w:rsid w:val="00956C6F"/>
    <w:rsid w:val="00957B15"/>
    <w:rsid w:val="00960A61"/>
    <w:rsid w:val="00970698"/>
    <w:rsid w:val="009772FC"/>
    <w:rsid w:val="009A381E"/>
    <w:rsid w:val="009C0EE3"/>
    <w:rsid w:val="009E7F1E"/>
    <w:rsid w:val="00A00B19"/>
    <w:rsid w:val="00A025A8"/>
    <w:rsid w:val="00A11A50"/>
    <w:rsid w:val="00A143D8"/>
    <w:rsid w:val="00A208A3"/>
    <w:rsid w:val="00A31F3C"/>
    <w:rsid w:val="00A32268"/>
    <w:rsid w:val="00A36974"/>
    <w:rsid w:val="00A465CE"/>
    <w:rsid w:val="00A57B29"/>
    <w:rsid w:val="00A61C45"/>
    <w:rsid w:val="00A63AB6"/>
    <w:rsid w:val="00A65558"/>
    <w:rsid w:val="00A7342E"/>
    <w:rsid w:val="00A861A6"/>
    <w:rsid w:val="00A86A79"/>
    <w:rsid w:val="00A86CE2"/>
    <w:rsid w:val="00A95060"/>
    <w:rsid w:val="00A9580F"/>
    <w:rsid w:val="00AB2133"/>
    <w:rsid w:val="00AD27CF"/>
    <w:rsid w:val="00B05FE6"/>
    <w:rsid w:val="00B14C85"/>
    <w:rsid w:val="00B25773"/>
    <w:rsid w:val="00B27EAE"/>
    <w:rsid w:val="00B32C5A"/>
    <w:rsid w:val="00B40C67"/>
    <w:rsid w:val="00B438A3"/>
    <w:rsid w:val="00B4703F"/>
    <w:rsid w:val="00B60C13"/>
    <w:rsid w:val="00B8311F"/>
    <w:rsid w:val="00B87E7A"/>
    <w:rsid w:val="00BB46AF"/>
    <w:rsid w:val="00BB5140"/>
    <w:rsid w:val="00BD457F"/>
    <w:rsid w:val="00BE099D"/>
    <w:rsid w:val="00BF33D3"/>
    <w:rsid w:val="00C2668F"/>
    <w:rsid w:val="00C300DE"/>
    <w:rsid w:val="00C50A85"/>
    <w:rsid w:val="00C6021B"/>
    <w:rsid w:val="00C657E5"/>
    <w:rsid w:val="00C7190F"/>
    <w:rsid w:val="00CA6644"/>
    <w:rsid w:val="00CA6D1E"/>
    <w:rsid w:val="00CC611C"/>
    <w:rsid w:val="00CC6235"/>
    <w:rsid w:val="00CE29CC"/>
    <w:rsid w:val="00CE4B52"/>
    <w:rsid w:val="00CF00C8"/>
    <w:rsid w:val="00CF5826"/>
    <w:rsid w:val="00CF67C2"/>
    <w:rsid w:val="00D33F36"/>
    <w:rsid w:val="00D4600C"/>
    <w:rsid w:val="00D52512"/>
    <w:rsid w:val="00D75515"/>
    <w:rsid w:val="00D874CF"/>
    <w:rsid w:val="00D92476"/>
    <w:rsid w:val="00DA10FE"/>
    <w:rsid w:val="00DA201A"/>
    <w:rsid w:val="00DA7DCC"/>
    <w:rsid w:val="00DB0B61"/>
    <w:rsid w:val="00DB5D2E"/>
    <w:rsid w:val="00DB65CA"/>
    <w:rsid w:val="00DC17A3"/>
    <w:rsid w:val="00DC22BF"/>
    <w:rsid w:val="00DC2733"/>
    <w:rsid w:val="00DC724E"/>
    <w:rsid w:val="00E03257"/>
    <w:rsid w:val="00E4031B"/>
    <w:rsid w:val="00E42518"/>
    <w:rsid w:val="00E4581C"/>
    <w:rsid w:val="00E4672A"/>
    <w:rsid w:val="00E5586D"/>
    <w:rsid w:val="00E55E20"/>
    <w:rsid w:val="00E5682E"/>
    <w:rsid w:val="00E56A4A"/>
    <w:rsid w:val="00E64063"/>
    <w:rsid w:val="00E701FA"/>
    <w:rsid w:val="00E75368"/>
    <w:rsid w:val="00E76983"/>
    <w:rsid w:val="00E86A59"/>
    <w:rsid w:val="00EA74F0"/>
    <w:rsid w:val="00EB51F1"/>
    <w:rsid w:val="00EB5EB0"/>
    <w:rsid w:val="00EC5303"/>
    <w:rsid w:val="00ED5B2B"/>
    <w:rsid w:val="00ED662B"/>
    <w:rsid w:val="00ED6FD1"/>
    <w:rsid w:val="00EE0276"/>
    <w:rsid w:val="00EE2CD0"/>
    <w:rsid w:val="00EE7C53"/>
    <w:rsid w:val="00EF3970"/>
    <w:rsid w:val="00EF66BB"/>
    <w:rsid w:val="00F0219D"/>
    <w:rsid w:val="00F1456E"/>
    <w:rsid w:val="00F23AFE"/>
    <w:rsid w:val="00F45A56"/>
    <w:rsid w:val="00F559E2"/>
    <w:rsid w:val="00F64C43"/>
    <w:rsid w:val="00F8587F"/>
    <w:rsid w:val="00F87F3D"/>
    <w:rsid w:val="00FB38D8"/>
    <w:rsid w:val="00FC7A12"/>
    <w:rsid w:val="00FD092A"/>
    <w:rsid w:val="00FD2309"/>
    <w:rsid w:val="00FD4BC2"/>
    <w:rsid w:val="00FD636A"/>
    <w:rsid w:val="00FD7751"/>
    <w:rsid w:val="00FE4DF4"/>
    <w:rsid w:val="01011432"/>
    <w:rsid w:val="01C06A59"/>
    <w:rsid w:val="01CE613F"/>
    <w:rsid w:val="025F1FBD"/>
    <w:rsid w:val="029B75D2"/>
    <w:rsid w:val="02AA6485"/>
    <w:rsid w:val="02B67F04"/>
    <w:rsid w:val="02C93A22"/>
    <w:rsid w:val="02CA3F84"/>
    <w:rsid w:val="03EF39DD"/>
    <w:rsid w:val="04064381"/>
    <w:rsid w:val="04254951"/>
    <w:rsid w:val="04FC240C"/>
    <w:rsid w:val="051A4586"/>
    <w:rsid w:val="057C005B"/>
    <w:rsid w:val="05856825"/>
    <w:rsid w:val="058C1C75"/>
    <w:rsid w:val="078A4F86"/>
    <w:rsid w:val="078F26BA"/>
    <w:rsid w:val="07D71374"/>
    <w:rsid w:val="07F27D26"/>
    <w:rsid w:val="088369BC"/>
    <w:rsid w:val="08954433"/>
    <w:rsid w:val="08E77384"/>
    <w:rsid w:val="09516F29"/>
    <w:rsid w:val="09572E53"/>
    <w:rsid w:val="09BD64F4"/>
    <w:rsid w:val="0A903AF4"/>
    <w:rsid w:val="0AAA4C68"/>
    <w:rsid w:val="0ABB7DA5"/>
    <w:rsid w:val="0AFE2FA5"/>
    <w:rsid w:val="0B827859"/>
    <w:rsid w:val="0BEE2E8C"/>
    <w:rsid w:val="0BF246C5"/>
    <w:rsid w:val="0BFF576E"/>
    <w:rsid w:val="0C1C6871"/>
    <w:rsid w:val="0C261418"/>
    <w:rsid w:val="0C4541D6"/>
    <w:rsid w:val="0C9D60B6"/>
    <w:rsid w:val="0D086D55"/>
    <w:rsid w:val="0D2C2410"/>
    <w:rsid w:val="0D2D283A"/>
    <w:rsid w:val="0D66490B"/>
    <w:rsid w:val="0DDB12EF"/>
    <w:rsid w:val="0E093D7F"/>
    <w:rsid w:val="0E161EB0"/>
    <w:rsid w:val="0E1F205F"/>
    <w:rsid w:val="0E697C3C"/>
    <w:rsid w:val="0F36160B"/>
    <w:rsid w:val="0F6A0AAD"/>
    <w:rsid w:val="109B6D2B"/>
    <w:rsid w:val="10BB095B"/>
    <w:rsid w:val="11245211"/>
    <w:rsid w:val="11344C03"/>
    <w:rsid w:val="119F4ACB"/>
    <w:rsid w:val="11FB5E46"/>
    <w:rsid w:val="12AC1146"/>
    <w:rsid w:val="13246080"/>
    <w:rsid w:val="13591F42"/>
    <w:rsid w:val="137363DE"/>
    <w:rsid w:val="137D53E0"/>
    <w:rsid w:val="13807359"/>
    <w:rsid w:val="13934BAB"/>
    <w:rsid w:val="13AB6E55"/>
    <w:rsid w:val="149F006B"/>
    <w:rsid w:val="14AD6AD0"/>
    <w:rsid w:val="1528214D"/>
    <w:rsid w:val="15746B8E"/>
    <w:rsid w:val="15870DF3"/>
    <w:rsid w:val="167E7D3F"/>
    <w:rsid w:val="16FF04B8"/>
    <w:rsid w:val="172363A5"/>
    <w:rsid w:val="17251369"/>
    <w:rsid w:val="17B82BD9"/>
    <w:rsid w:val="187B49E0"/>
    <w:rsid w:val="18836947"/>
    <w:rsid w:val="18E3141E"/>
    <w:rsid w:val="192856BD"/>
    <w:rsid w:val="195754D9"/>
    <w:rsid w:val="19B47354"/>
    <w:rsid w:val="19D563EB"/>
    <w:rsid w:val="19E37C84"/>
    <w:rsid w:val="19E46D15"/>
    <w:rsid w:val="1A004CFE"/>
    <w:rsid w:val="1A5D0297"/>
    <w:rsid w:val="1A6C1B3F"/>
    <w:rsid w:val="1A7117C1"/>
    <w:rsid w:val="1A71702B"/>
    <w:rsid w:val="1B13772E"/>
    <w:rsid w:val="1B4D3232"/>
    <w:rsid w:val="1B9A6A78"/>
    <w:rsid w:val="1C5D29B8"/>
    <w:rsid w:val="1C9D178F"/>
    <w:rsid w:val="1CC267BD"/>
    <w:rsid w:val="1DAF140A"/>
    <w:rsid w:val="1DBC347B"/>
    <w:rsid w:val="1EB05EB6"/>
    <w:rsid w:val="1F9E344D"/>
    <w:rsid w:val="1FA738F9"/>
    <w:rsid w:val="20655FC6"/>
    <w:rsid w:val="21763556"/>
    <w:rsid w:val="21882AB3"/>
    <w:rsid w:val="21896A65"/>
    <w:rsid w:val="22CC2FBA"/>
    <w:rsid w:val="242814E4"/>
    <w:rsid w:val="25D543B8"/>
    <w:rsid w:val="260C6DC3"/>
    <w:rsid w:val="261E242B"/>
    <w:rsid w:val="268F5CEC"/>
    <w:rsid w:val="27226A7C"/>
    <w:rsid w:val="279C0DEE"/>
    <w:rsid w:val="279E140F"/>
    <w:rsid w:val="27E67680"/>
    <w:rsid w:val="28050714"/>
    <w:rsid w:val="2808144F"/>
    <w:rsid w:val="2839246E"/>
    <w:rsid w:val="284F6281"/>
    <w:rsid w:val="286A7EE4"/>
    <w:rsid w:val="28B16A12"/>
    <w:rsid w:val="28E65CFB"/>
    <w:rsid w:val="29683FE8"/>
    <w:rsid w:val="2977655F"/>
    <w:rsid w:val="2979121B"/>
    <w:rsid w:val="298A7C8A"/>
    <w:rsid w:val="29987AE3"/>
    <w:rsid w:val="29C24214"/>
    <w:rsid w:val="2A3D39BF"/>
    <w:rsid w:val="2AA021E1"/>
    <w:rsid w:val="2ABF3DA9"/>
    <w:rsid w:val="2B0E185C"/>
    <w:rsid w:val="2B364597"/>
    <w:rsid w:val="2B620B9B"/>
    <w:rsid w:val="2B711BC9"/>
    <w:rsid w:val="2C3D60D2"/>
    <w:rsid w:val="2CF1416B"/>
    <w:rsid w:val="2D9C02CA"/>
    <w:rsid w:val="2DD43CF4"/>
    <w:rsid w:val="2DFF6B33"/>
    <w:rsid w:val="2E0221C2"/>
    <w:rsid w:val="2E68254D"/>
    <w:rsid w:val="2E81127A"/>
    <w:rsid w:val="2EC002DA"/>
    <w:rsid w:val="2EC24BDD"/>
    <w:rsid w:val="2EC863F0"/>
    <w:rsid w:val="2FA416A7"/>
    <w:rsid w:val="30146C9D"/>
    <w:rsid w:val="30627D41"/>
    <w:rsid w:val="310202A9"/>
    <w:rsid w:val="320C48CF"/>
    <w:rsid w:val="322E19B7"/>
    <w:rsid w:val="32E75BF3"/>
    <w:rsid w:val="331D4CFA"/>
    <w:rsid w:val="340740A2"/>
    <w:rsid w:val="342D61D0"/>
    <w:rsid w:val="342F4D4E"/>
    <w:rsid w:val="347A62B5"/>
    <w:rsid w:val="347B458C"/>
    <w:rsid w:val="34895368"/>
    <w:rsid w:val="348D10F1"/>
    <w:rsid w:val="34BB1A6E"/>
    <w:rsid w:val="34BB2209"/>
    <w:rsid w:val="35820299"/>
    <w:rsid w:val="35CF6782"/>
    <w:rsid w:val="364A1223"/>
    <w:rsid w:val="36A500E2"/>
    <w:rsid w:val="36C563AB"/>
    <w:rsid w:val="370267B9"/>
    <w:rsid w:val="371B42F4"/>
    <w:rsid w:val="374F7961"/>
    <w:rsid w:val="376B064F"/>
    <w:rsid w:val="378D4656"/>
    <w:rsid w:val="37AF18A8"/>
    <w:rsid w:val="37D02C34"/>
    <w:rsid w:val="37DC4739"/>
    <w:rsid w:val="38FF3114"/>
    <w:rsid w:val="3997704F"/>
    <w:rsid w:val="39B2166A"/>
    <w:rsid w:val="39BA138F"/>
    <w:rsid w:val="39D74947"/>
    <w:rsid w:val="39EB7FA8"/>
    <w:rsid w:val="3A2A0CC7"/>
    <w:rsid w:val="3A702AFE"/>
    <w:rsid w:val="3AB95E1E"/>
    <w:rsid w:val="3ADF553B"/>
    <w:rsid w:val="3B2035F1"/>
    <w:rsid w:val="3B356BFA"/>
    <w:rsid w:val="3B54784D"/>
    <w:rsid w:val="3B7E271F"/>
    <w:rsid w:val="3BCB7221"/>
    <w:rsid w:val="3BDA52F5"/>
    <w:rsid w:val="3C717F06"/>
    <w:rsid w:val="3C770629"/>
    <w:rsid w:val="3D1F136A"/>
    <w:rsid w:val="3D363E56"/>
    <w:rsid w:val="3D842AB7"/>
    <w:rsid w:val="3DF62BDB"/>
    <w:rsid w:val="3E1F1A25"/>
    <w:rsid w:val="3EE00D9C"/>
    <w:rsid w:val="3EE16218"/>
    <w:rsid w:val="3F1A3CA7"/>
    <w:rsid w:val="3F9A638A"/>
    <w:rsid w:val="3FAB4ABB"/>
    <w:rsid w:val="3FAD2566"/>
    <w:rsid w:val="402E10D0"/>
    <w:rsid w:val="40963C37"/>
    <w:rsid w:val="40DD2857"/>
    <w:rsid w:val="410A6F2B"/>
    <w:rsid w:val="41261550"/>
    <w:rsid w:val="413A3DED"/>
    <w:rsid w:val="417E612D"/>
    <w:rsid w:val="41AE3AC7"/>
    <w:rsid w:val="42754B11"/>
    <w:rsid w:val="42984071"/>
    <w:rsid w:val="4307790C"/>
    <w:rsid w:val="430A3FF8"/>
    <w:rsid w:val="43290A6A"/>
    <w:rsid w:val="432E6CA0"/>
    <w:rsid w:val="432F25D2"/>
    <w:rsid w:val="433F17B2"/>
    <w:rsid w:val="43794520"/>
    <w:rsid w:val="43E95CDA"/>
    <w:rsid w:val="44A64C3B"/>
    <w:rsid w:val="44E22BBD"/>
    <w:rsid w:val="44E52DB4"/>
    <w:rsid w:val="44F818FD"/>
    <w:rsid w:val="45506F92"/>
    <w:rsid w:val="45645E4B"/>
    <w:rsid w:val="45822E97"/>
    <w:rsid w:val="45890BAE"/>
    <w:rsid w:val="46541FBA"/>
    <w:rsid w:val="466C7BF9"/>
    <w:rsid w:val="46865266"/>
    <w:rsid w:val="47104D21"/>
    <w:rsid w:val="47BA04B3"/>
    <w:rsid w:val="48527398"/>
    <w:rsid w:val="4875771F"/>
    <w:rsid w:val="488D6307"/>
    <w:rsid w:val="48B8248A"/>
    <w:rsid w:val="48C13832"/>
    <w:rsid w:val="48C24C67"/>
    <w:rsid w:val="497F6B7E"/>
    <w:rsid w:val="49A204EB"/>
    <w:rsid w:val="4AE26D13"/>
    <w:rsid w:val="4B0226AB"/>
    <w:rsid w:val="4B495E05"/>
    <w:rsid w:val="4B7B1A6E"/>
    <w:rsid w:val="4BFE2360"/>
    <w:rsid w:val="4C531E22"/>
    <w:rsid w:val="4CF039A1"/>
    <w:rsid w:val="4D147055"/>
    <w:rsid w:val="4D1C32E8"/>
    <w:rsid w:val="4DEA51DC"/>
    <w:rsid w:val="4DF821FC"/>
    <w:rsid w:val="4E1A75A6"/>
    <w:rsid w:val="4E4F464F"/>
    <w:rsid w:val="4E5B51AA"/>
    <w:rsid w:val="4E983BAC"/>
    <w:rsid w:val="4EDF717B"/>
    <w:rsid w:val="4EFA2C5F"/>
    <w:rsid w:val="4FDB5DC1"/>
    <w:rsid w:val="4FF74B97"/>
    <w:rsid w:val="500D6B46"/>
    <w:rsid w:val="50733363"/>
    <w:rsid w:val="50DD3690"/>
    <w:rsid w:val="513909A5"/>
    <w:rsid w:val="513C3415"/>
    <w:rsid w:val="51F674DD"/>
    <w:rsid w:val="521B4251"/>
    <w:rsid w:val="52CF7C8A"/>
    <w:rsid w:val="52F926C9"/>
    <w:rsid w:val="53016E78"/>
    <w:rsid w:val="532B52C9"/>
    <w:rsid w:val="53354FD9"/>
    <w:rsid w:val="53656143"/>
    <w:rsid w:val="53A37B4A"/>
    <w:rsid w:val="53B27EB1"/>
    <w:rsid w:val="53BC6E30"/>
    <w:rsid w:val="54086F85"/>
    <w:rsid w:val="54211120"/>
    <w:rsid w:val="54A07031"/>
    <w:rsid w:val="54FB76D4"/>
    <w:rsid w:val="55024F1D"/>
    <w:rsid w:val="55FA4971"/>
    <w:rsid w:val="561E009F"/>
    <w:rsid w:val="56C06FE4"/>
    <w:rsid w:val="56FA5183"/>
    <w:rsid w:val="576A7E05"/>
    <w:rsid w:val="57D1153D"/>
    <w:rsid w:val="57E12F6C"/>
    <w:rsid w:val="581F498E"/>
    <w:rsid w:val="58E301EC"/>
    <w:rsid w:val="58F64773"/>
    <w:rsid w:val="58F7028D"/>
    <w:rsid w:val="59553775"/>
    <w:rsid w:val="59E34EE1"/>
    <w:rsid w:val="5A252FC5"/>
    <w:rsid w:val="5A4A0269"/>
    <w:rsid w:val="5A5322C4"/>
    <w:rsid w:val="5A6B1416"/>
    <w:rsid w:val="5A6D7C19"/>
    <w:rsid w:val="5AAA34AA"/>
    <w:rsid w:val="5B1A64A0"/>
    <w:rsid w:val="5B281120"/>
    <w:rsid w:val="5BE42200"/>
    <w:rsid w:val="5BEB1CAC"/>
    <w:rsid w:val="5C402E50"/>
    <w:rsid w:val="5C4E70BE"/>
    <w:rsid w:val="5C6B60DE"/>
    <w:rsid w:val="5C8650E3"/>
    <w:rsid w:val="5CDF5F4B"/>
    <w:rsid w:val="5DC81B6D"/>
    <w:rsid w:val="5E115FF1"/>
    <w:rsid w:val="5E6064FA"/>
    <w:rsid w:val="5EFE7B9F"/>
    <w:rsid w:val="5F495905"/>
    <w:rsid w:val="5F5D3C51"/>
    <w:rsid w:val="5FF71749"/>
    <w:rsid w:val="602725A5"/>
    <w:rsid w:val="609479FF"/>
    <w:rsid w:val="60B771C9"/>
    <w:rsid w:val="60CA1946"/>
    <w:rsid w:val="60CE1AFF"/>
    <w:rsid w:val="6109634C"/>
    <w:rsid w:val="615F1E44"/>
    <w:rsid w:val="61816BB8"/>
    <w:rsid w:val="61C944E5"/>
    <w:rsid w:val="62506D2B"/>
    <w:rsid w:val="62D31E7A"/>
    <w:rsid w:val="63261CC3"/>
    <w:rsid w:val="63667496"/>
    <w:rsid w:val="63C77272"/>
    <w:rsid w:val="63E55FF6"/>
    <w:rsid w:val="64110AD9"/>
    <w:rsid w:val="645D0E54"/>
    <w:rsid w:val="64AE0996"/>
    <w:rsid w:val="64B94F85"/>
    <w:rsid w:val="65152132"/>
    <w:rsid w:val="65444F5E"/>
    <w:rsid w:val="65531A0A"/>
    <w:rsid w:val="656156A1"/>
    <w:rsid w:val="65A7500A"/>
    <w:rsid w:val="65B434CA"/>
    <w:rsid w:val="665A01A6"/>
    <w:rsid w:val="66823742"/>
    <w:rsid w:val="66D279AA"/>
    <w:rsid w:val="675D0D42"/>
    <w:rsid w:val="68455076"/>
    <w:rsid w:val="68976405"/>
    <w:rsid w:val="68B50312"/>
    <w:rsid w:val="68BF3A86"/>
    <w:rsid w:val="69366691"/>
    <w:rsid w:val="69B277DD"/>
    <w:rsid w:val="69DE3677"/>
    <w:rsid w:val="6A0829D5"/>
    <w:rsid w:val="6A287AFD"/>
    <w:rsid w:val="6A2C36B6"/>
    <w:rsid w:val="6A456D8E"/>
    <w:rsid w:val="6A592CA1"/>
    <w:rsid w:val="6A922A69"/>
    <w:rsid w:val="6AD80048"/>
    <w:rsid w:val="6B216F48"/>
    <w:rsid w:val="6B35656A"/>
    <w:rsid w:val="6B5C7807"/>
    <w:rsid w:val="6B6D293F"/>
    <w:rsid w:val="6B7C1AF2"/>
    <w:rsid w:val="6B9E5D01"/>
    <w:rsid w:val="6BE50C62"/>
    <w:rsid w:val="6BF82D7E"/>
    <w:rsid w:val="6C2B5B1F"/>
    <w:rsid w:val="6C3A6D60"/>
    <w:rsid w:val="6C597A77"/>
    <w:rsid w:val="6CB9129A"/>
    <w:rsid w:val="6CF56A98"/>
    <w:rsid w:val="6D980D5C"/>
    <w:rsid w:val="6DB21097"/>
    <w:rsid w:val="6E9B1659"/>
    <w:rsid w:val="6EF3616A"/>
    <w:rsid w:val="6F014EEA"/>
    <w:rsid w:val="6F2656D8"/>
    <w:rsid w:val="6F937348"/>
    <w:rsid w:val="6FCE7FD1"/>
    <w:rsid w:val="6FF16435"/>
    <w:rsid w:val="7114764D"/>
    <w:rsid w:val="71850CF8"/>
    <w:rsid w:val="71F002C7"/>
    <w:rsid w:val="723C2A8B"/>
    <w:rsid w:val="72B14F23"/>
    <w:rsid w:val="72F12368"/>
    <w:rsid w:val="73997B6A"/>
    <w:rsid w:val="73A5390B"/>
    <w:rsid w:val="741A38BE"/>
    <w:rsid w:val="7436767A"/>
    <w:rsid w:val="7459546A"/>
    <w:rsid w:val="74DB0E59"/>
    <w:rsid w:val="74F707E1"/>
    <w:rsid w:val="75627380"/>
    <w:rsid w:val="7571391A"/>
    <w:rsid w:val="75C40FCF"/>
    <w:rsid w:val="764E3894"/>
    <w:rsid w:val="773A3780"/>
    <w:rsid w:val="773A4AFE"/>
    <w:rsid w:val="77532371"/>
    <w:rsid w:val="776730E0"/>
    <w:rsid w:val="77A82EA7"/>
    <w:rsid w:val="77AE63CD"/>
    <w:rsid w:val="78705A32"/>
    <w:rsid w:val="78F7788F"/>
    <w:rsid w:val="79265BCD"/>
    <w:rsid w:val="79294FA7"/>
    <w:rsid w:val="793B55C1"/>
    <w:rsid w:val="796267BE"/>
    <w:rsid w:val="79913541"/>
    <w:rsid w:val="799661EB"/>
    <w:rsid w:val="79F16A87"/>
    <w:rsid w:val="79F42143"/>
    <w:rsid w:val="7A0B5902"/>
    <w:rsid w:val="7A317C61"/>
    <w:rsid w:val="7A6811CF"/>
    <w:rsid w:val="7A6F59F6"/>
    <w:rsid w:val="7ABE5C71"/>
    <w:rsid w:val="7B2818D3"/>
    <w:rsid w:val="7B3B7B23"/>
    <w:rsid w:val="7B71020D"/>
    <w:rsid w:val="7BD13762"/>
    <w:rsid w:val="7C035F26"/>
    <w:rsid w:val="7C1810EE"/>
    <w:rsid w:val="7C187983"/>
    <w:rsid w:val="7C1A2EE0"/>
    <w:rsid w:val="7C323930"/>
    <w:rsid w:val="7CBD168B"/>
    <w:rsid w:val="7CCE059E"/>
    <w:rsid w:val="7CE73025"/>
    <w:rsid w:val="7D100B17"/>
    <w:rsid w:val="7D47021B"/>
    <w:rsid w:val="7D4E35BB"/>
    <w:rsid w:val="7DA80AF8"/>
    <w:rsid w:val="7DCF0211"/>
    <w:rsid w:val="7E7D5699"/>
    <w:rsid w:val="7E7E74F3"/>
    <w:rsid w:val="7EAA36E6"/>
    <w:rsid w:val="7F1C344E"/>
    <w:rsid w:val="7F3C2DF2"/>
    <w:rsid w:val="7F47390E"/>
    <w:rsid w:val="7FA162E3"/>
    <w:rsid w:val="7FF5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36"/>
    <w:qFormat/>
    <w:uiPriority w:val="0"/>
    <w:pPr>
      <w:jc w:val="left"/>
    </w:pPr>
  </w:style>
  <w:style w:type="paragraph" w:styleId="5">
    <w:name w:val="toc 3"/>
    <w:basedOn w:val="1"/>
    <w:next w:val="1"/>
    <w:qFormat/>
    <w:uiPriority w:val="39"/>
    <w:pPr>
      <w:ind w:left="840" w:leftChars="400"/>
    </w:pPr>
  </w:style>
  <w:style w:type="paragraph" w:styleId="6">
    <w:name w:val="Date"/>
    <w:basedOn w:val="1"/>
    <w:next w:val="1"/>
    <w:link w:val="38"/>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snapToGrid w:val="0"/>
      <w:jc w:val="left"/>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annotation subject"/>
    <w:basedOn w:val="4"/>
    <w:next w:val="4"/>
    <w:link w:val="37"/>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character" w:customStyle="1" w:styleId="19">
    <w:name w:val="批注框文本 字符"/>
    <w:basedOn w:val="15"/>
    <w:link w:val="7"/>
    <w:qFormat/>
    <w:uiPriority w:val="0"/>
    <w:rPr>
      <w:rFonts w:ascii="Calibri" w:hAnsi="Calibri"/>
      <w:kern w:val="2"/>
      <w:sz w:val="18"/>
      <w:szCs w:val="18"/>
    </w:rPr>
  </w:style>
  <w:style w:type="character" w:customStyle="1" w:styleId="20">
    <w:name w:val="发布"/>
    <w:qFormat/>
    <w:uiPriority w:val="0"/>
    <w:rPr>
      <w:rFonts w:ascii="黑体" w:eastAsia="黑体"/>
      <w:spacing w:val="85"/>
      <w:w w:val="100"/>
      <w:position w:val="3"/>
      <w:sz w:val="28"/>
      <w:szCs w:val="28"/>
    </w:rPr>
  </w:style>
  <w:style w:type="paragraph" w:customStyle="1" w:styleId="21">
    <w:name w:val="二级条标题"/>
    <w:basedOn w:val="22"/>
    <w:next w:val="23"/>
    <w:qFormat/>
    <w:uiPriority w:val="0"/>
    <w:pPr>
      <w:spacing w:before="50" w:after="50"/>
      <w:outlineLvl w:val="3"/>
    </w:pPr>
  </w:style>
  <w:style w:type="paragraph" w:customStyle="1" w:styleId="22">
    <w:name w:val="一级条标题"/>
    <w:next w:val="2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
    <w:name w:val="段"/>
    <w:link w:val="5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5">
    <w:name w:val="其他实施日期"/>
    <w:basedOn w:val="26"/>
    <w:qFormat/>
    <w:uiPriority w:val="0"/>
    <w:pPr>
      <w:framePr/>
    </w:pPr>
  </w:style>
  <w:style w:type="paragraph" w:customStyle="1" w:styleId="26">
    <w:name w:val="实施日期"/>
    <w:basedOn w:val="24"/>
    <w:qFormat/>
    <w:uiPriority w:val="0"/>
    <w:pPr>
      <w:framePr w:vAnchor="page" w:hAnchor="text"/>
      <w:jc w:val="right"/>
    </w:pPr>
  </w:style>
  <w:style w:type="paragraph" w:customStyle="1" w:styleId="27">
    <w:name w:val="其他发布部门"/>
    <w:basedOn w:val="28"/>
    <w:qFormat/>
    <w:uiPriority w:val="0"/>
    <w:pPr>
      <w:framePr w:y="15310"/>
      <w:spacing w:line="0" w:lineRule="atLeast"/>
    </w:pPr>
    <w:rPr>
      <w:rFonts w:ascii="黑体" w:eastAsia="黑体"/>
      <w:b w:val="0"/>
    </w:rPr>
  </w:style>
  <w:style w:type="paragraph" w:customStyle="1" w:styleId="28">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9">
    <w:name w:val="其他发布日期"/>
    <w:basedOn w:val="24"/>
    <w:qFormat/>
    <w:uiPriority w:val="0"/>
    <w:pPr>
      <w:framePr w:vAnchor="page" w:hAnchor="text" w:x="1419"/>
    </w:p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2">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5">
    <w:name w:val="修订1"/>
    <w:hidden/>
    <w:unhideWhenUsed/>
    <w:qFormat/>
    <w:uiPriority w:val="99"/>
    <w:rPr>
      <w:rFonts w:ascii="Calibri" w:hAnsi="Calibri" w:eastAsia="宋体" w:cs="Times New Roman"/>
      <w:kern w:val="2"/>
      <w:sz w:val="21"/>
      <w:szCs w:val="24"/>
      <w:lang w:val="en-US" w:eastAsia="zh-CN" w:bidi="ar-SA"/>
    </w:rPr>
  </w:style>
  <w:style w:type="character" w:customStyle="1" w:styleId="36">
    <w:name w:val="批注文字 字符"/>
    <w:basedOn w:val="15"/>
    <w:link w:val="4"/>
    <w:qFormat/>
    <w:uiPriority w:val="0"/>
    <w:rPr>
      <w:rFonts w:ascii="Calibri" w:hAnsi="Calibri"/>
      <w:kern w:val="2"/>
      <w:sz w:val="21"/>
      <w:szCs w:val="24"/>
    </w:rPr>
  </w:style>
  <w:style w:type="character" w:customStyle="1" w:styleId="37">
    <w:name w:val="批注主题 字符"/>
    <w:basedOn w:val="36"/>
    <w:link w:val="12"/>
    <w:qFormat/>
    <w:uiPriority w:val="0"/>
    <w:rPr>
      <w:rFonts w:ascii="Calibri" w:hAnsi="Calibri"/>
      <w:b/>
      <w:bCs/>
      <w:kern w:val="2"/>
      <w:sz w:val="21"/>
      <w:szCs w:val="24"/>
    </w:rPr>
  </w:style>
  <w:style w:type="character" w:customStyle="1" w:styleId="38">
    <w:name w:val="日期 字符"/>
    <w:basedOn w:val="15"/>
    <w:link w:val="6"/>
    <w:qFormat/>
    <w:uiPriority w:val="0"/>
    <w:rPr>
      <w:rFonts w:ascii="Calibri" w:hAnsi="Calibri"/>
      <w:kern w:val="2"/>
      <w:sz w:val="21"/>
      <w:szCs w:val="24"/>
    </w:rPr>
  </w:style>
  <w:style w:type="paragraph" w:customStyle="1" w:styleId="39">
    <w:name w:val="修订2"/>
    <w:hidden/>
    <w:unhideWhenUsed/>
    <w:qFormat/>
    <w:uiPriority w:val="99"/>
    <w:rPr>
      <w:rFonts w:ascii="Calibri" w:hAnsi="Calibri" w:eastAsia="宋体" w:cs="Times New Roman"/>
      <w:kern w:val="2"/>
      <w:sz w:val="21"/>
      <w:szCs w:val="24"/>
      <w:lang w:val="en-US" w:eastAsia="zh-CN" w:bidi="ar-SA"/>
    </w:rPr>
  </w:style>
  <w:style w:type="paragraph" w:styleId="40">
    <w:name w:val="List Paragraph"/>
    <w:basedOn w:val="1"/>
    <w:unhideWhenUsed/>
    <w:qFormat/>
    <w:uiPriority w:val="99"/>
    <w:pPr>
      <w:ind w:firstLine="420" w:firstLineChars="200"/>
    </w:pPr>
  </w:style>
  <w:style w:type="character" w:styleId="41">
    <w:name w:val="Placeholder Text"/>
    <w:basedOn w:val="15"/>
    <w:unhideWhenUsed/>
    <w:qFormat/>
    <w:uiPriority w:val="99"/>
    <w:rPr>
      <w:color w:val="666666"/>
    </w:rPr>
  </w:style>
  <w:style w:type="paragraph" w:customStyle="1" w:styleId="42">
    <w:name w:val="二级无"/>
    <w:basedOn w:val="21"/>
    <w:link w:val="45"/>
    <w:qFormat/>
    <w:uiPriority w:val="0"/>
    <w:pPr>
      <w:spacing w:before="0" w:beforeLines="0" w:after="0" w:afterLines="0"/>
    </w:pPr>
    <w:rPr>
      <w:rFonts w:ascii="宋体" w:eastAsia="宋体"/>
    </w:rPr>
  </w:style>
  <w:style w:type="paragraph" w:customStyle="1" w:styleId="43">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45">
    <w:name w:val="二级无 Char"/>
    <w:link w:val="42"/>
    <w:qFormat/>
    <w:uiPriority w:val="0"/>
    <w:rPr>
      <w:rFonts w:ascii="宋体" w:eastAsia="宋体"/>
    </w:rPr>
  </w:style>
  <w:style w:type="paragraph" w:customStyle="1" w:styleId="46">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4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8">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9">
    <w:name w:val="附录章标题"/>
    <w:next w:val="23"/>
    <w:qFormat/>
    <w:uiPriority w:val="0"/>
    <w:pPr>
      <w:numPr>
        <w:ilvl w:val="1"/>
        <w:numId w:val="2"/>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0">
    <w:name w:val="附录标识"/>
    <w:basedOn w:val="1"/>
    <w:next w:val="23"/>
    <w:qFormat/>
    <w:uiPriority w:val="0"/>
    <w:pPr>
      <w:keepNext/>
      <w:widowControl/>
      <w:numPr>
        <w:ilvl w:val="0"/>
        <w:numId w:val="2"/>
      </w:numPr>
      <w:shd w:val="clear" w:color="FFFFFF" w:fill="FFFFFF"/>
      <w:spacing w:before="640" w:after="280"/>
      <w:jc w:val="center"/>
      <w:outlineLvl w:val="0"/>
    </w:pPr>
    <w:rPr>
      <w:rFonts w:ascii="黑体" w:eastAsia="黑体"/>
      <w:kern w:val="0"/>
      <w:szCs w:val="20"/>
    </w:rPr>
  </w:style>
  <w:style w:type="paragraph" w:customStyle="1" w:styleId="5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2">
    <w:name w:val="其他标准标志"/>
    <w:basedOn w:val="53"/>
    <w:qFormat/>
    <w:uiPriority w:val="0"/>
    <w:pPr>
      <w:framePr w:w="6101" w:vAnchor="page" w:hAnchor="page" w:x="4673" w:y="942"/>
    </w:pPr>
    <w:rPr>
      <w:w w:val="130"/>
    </w:rPr>
  </w:style>
  <w:style w:type="paragraph" w:customStyle="1" w:styleId="5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7">
    <w:name w:val="标准书眉_偶数页"/>
    <w:basedOn w:val="44"/>
    <w:next w:val="1"/>
    <w:qFormat/>
    <w:uiPriority w:val="0"/>
    <w:pPr>
      <w:jc w:val="left"/>
    </w:pPr>
  </w:style>
  <w:style w:type="paragraph" w:customStyle="1" w:styleId="58">
    <w:name w:val="修订3"/>
    <w:hidden/>
    <w:unhideWhenUsed/>
    <w:qFormat/>
    <w:uiPriority w:val="99"/>
    <w:rPr>
      <w:rFonts w:ascii="Calibri" w:hAnsi="Calibri" w:eastAsia="宋体" w:cs="Times New Roman"/>
      <w:kern w:val="2"/>
      <w:sz w:val="21"/>
      <w:szCs w:val="24"/>
      <w:lang w:val="en-US" w:eastAsia="zh-CN" w:bidi="ar-SA"/>
    </w:rPr>
  </w:style>
  <w:style w:type="character" w:customStyle="1" w:styleId="59">
    <w:name w:val="段 Char"/>
    <w:link w:val="23"/>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16</Pages>
  <Words>5386</Words>
  <Characters>6196</Characters>
  <Lines>413</Lines>
  <Paragraphs>526</Paragraphs>
  <TotalTime>8</TotalTime>
  <ScaleCrop>false</ScaleCrop>
  <LinksUpToDate>false</LinksUpToDate>
  <CharactersWithSpaces>11056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2025-11-11T09:53:00Z</dcterms:created>
  <dc:creator>miaogen</dc:creator>
  <cp:lastModifiedBy>user</cp:lastModifiedBy>
  <cp:lastPrinted>2024-03-04T10:03:00Z</cp:lastPrinted>
  <dcterms:modified xsi:type="dcterms:W3CDTF">2025-11-12T15:12:11Z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7C457968C8F54D3287FD5EAFD0DA5FD3_13</vt:lpwstr>
  </property>
  <property fmtid="{D5CDD505-2E9C-101B-9397-08002B2CF9AE}" pid="4" name="KSOTemplateDocerSaveRecord">
    <vt:lpwstr>eyJoZGlkIjoiYTdiZTJlYWJlZWQ2NDRkZWYzZjZiYjg5MTFlYTUxNDciLCJ1c2VySWQiOiIzNjcyODYyMjIifQ==</vt:lpwstr>
  </property>
</Properties>
</file>