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spacing w:before="120" w:after="120"/>
        <w:rPr>
          <w:rFonts w:ascii="Times New Roman"/>
        </w:rPr>
      </w:pPr>
      <w:r>
        <w:rPr>
          <w:rFonts w:ascii="Times New Roman"/>
        </w:rPr>
        <w:t>ICS 13.280</w:t>
      </w:r>
    </w:p>
    <w:tbl>
      <w:tblPr>
        <w:tblStyle w:val="2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42"/>
              <w:spacing w:before="120" w:after="120"/>
              <w:rPr>
                <w:color w:val="FF0000"/>
              </w:rPr>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iuL+zVAAAABwEAAA8AAAAAAAAAAQAgAAAAIgAAAGRy&#10;cy9kb3ducmV2LnhtbFBLAQIUABQAAAAIAIdO4kDd69gOlgEAABADAAAOAAAAAAAAAAEAIAAAACQB&#10;AABkcnMvZTJvRG9jLnhtbFBLBQYAAAAABgAGAFkBAAAsBQAAAAA=&#10;">
                      <v:fill on="t" focussize="0,0"/>
                      <v:stroke on="f"/>
                      <v:imagedata o:title=""/>
                      <o:lock v:ext="edit" aspectratio="f"/>
                    </v:rect>
                  </w:pict>
                </mc:Fallback>
              </mc:AlternateContent>
            </w:r>
            <w:r>
              <w:rPr>
                <w:rFonts w:hint="eastAsia" w:ascii="Times New Roman"/>
              </w:rPr>
              <w:t xml:space="preserve">CCS </w: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F70/79</w:t>
            </w:r>
            <w:r>
              <w:rPr>
                <w:rFonts w:ascii="Times New Roman"/>
              </w:rPr>
              <w:fldChar w:fldCharType="end"/>
            </w:r>
            <w:bookmarkEnd w:id="0"/>
          </w:p>
        </w:tc>
      </w:tr>
    </w:tbl>
    <w:p>
      <w:pPr>
        <w:spacing w:line="360" w:lineRule="auto"/>
        <w:rPr>
          <w:rFonts w:eastAsia="黑体"/>
          <w:sz w:val="32"/>
          <w:u w:val="single"/>
        </w:rPr>
      </w:pPr>
    </w:p>
    <w:p>
      <w:pPr>
        <w:spacing w:line="360" w:lineRule="auto"/>
        <w:jc w:val="right"/>
        <w:rPr>
          <w:rFonts w:eastAsia="黑体"/>
          <w:b/>
          <w:sz w:val="96"/>
        </w:rPr>
      </w:pPr>
      <w:r>
        <w:rPr>
          <w:rFonts w:eastAsia="黑体"/>
          <w:b/>
          <w:sz w:val="96"/>
        </w:rPr>
        <w:t>DB61</w:t>
      </w:r>
    </w:p>
    <w:p>
      <w:pPr>
        <w:spacing w:line="360" w:lineRule="auto"/>
        <w:jc w:val="distribute"/>
        <w:rPr>
          <w:rFonts w:eastAsia="黑体"/>
          <w:sz w:val="48"/>
        </w:rPr>
      </w:pPr>
      <w:r>
        <w:rPr>
          <w:rFonts w:eastAsia="黑体"/>
          <w:sz w:val="48"/>
        </w:rPr>
        <w:t>陕西省地方标准</w:t>
      </w:r>
    </w:p>
    <w:p>
      <w:pPr>
        <w:wordWrap w:val="0"/>
        <w:jc w:val="right"/>
        <w:rPr>
          <w:rFonts w:eastAsia="黑体"/>
          <w:sz w:val="28"/>
        </w:rPr>
      </w:pPr>
      <w:r>
        <w:rPr>
          <w:rFonts w:eastAsia="黑体"/>
          <w:sz w:val="28"/>
        </w:rPr>
        <w:t>DB61/</w:t>
      </w:r>
      <w:r>
        <w:rPr>
          <w:rFonts w:hint="eastAsia" w:eastAsia="黑体"/>
          <w:sz w:val="28"/>
        </w:rPr>
        <w:t>T ***-2025</w:t>
      </w:r>
    </w:p>
    <w:p>
      <w:pPr>
        <w:spacing w:line="360" w:lineRule="auto"/>
        <w:rPr>
          <w:rFonts w:eastAsia="黑体"/>
          <w:sz w:val="32"/>
          <w:u w:val="single"/>
        </w:rPr>
      </w:pPr>
      <w:r>
        <w:rPr>
          <w:rFonts w:eastAsia="黑体"/>
          <w:sz w:val="32"/>
          <w:u w:val="single"/>
        </w:rPr>
        <w:t xml:space="preserve">                                                          </w:t>
      </w:r>
    </w:p>
    <w:p>
      <w:pPr>
        <w:spacing w:line="360" w:lineRule="auto"/>
        <w:rPr>
          <w:rFonts w:eastAsia="黑体"/>
          <w:sz w:val="32"/>
          <w:u w:val="single"/>
        </w:rPr>
      </w:pPr>
    </w:p>
    <w:p>
      <w:pPr>
        <w:spacing w:line="360" w:lineRule="auto"/>
        <w:jc w:val="center"/>
        <w:rPr>
          <w:rFonts w:eastAsia="黑体"/>
          <w:sz w:val="44"/>
        </w:rPr>
      </w:pPr>
      <w:bookmarkStart w:id="1" w:name="OLE_LINK15"/>
      <w:r>
        <w:rPr>
          <w:rFonts w:hint="eastAsia" w:eastAsia="黑体"/>
          <w:sz w:val="44"/>
        </w:rPr>
        <w:t>钇-90微球临床应用辐射安全与防护规范</w:t>
      </w:r>
      <w:bookmarkEnd w:id="1"/>
    </w:p>
    <w:p>
      <w:pPr>
        <w:jc w:val="center"/>
        <w:rPr>
          <w:b/>
          <w:sz w:val="32"/>
        </w:rPr>
      </w:pPr>
      <w:r>
        <w:rPr>
          <w:bCs/>
          <w:sz w:val="32"/>
        </w:rPr>
        <w:t xml:space="preserve">Specification for </w:t>
      </w:r>
      <w:r>
        <w:rPr>
          <w:rFonts w:hint="eastAsia"/>
          <w:bCs/>
          <w:sz w:val="32"/>
        </w:rPr>
        <w:t>R</w:t>
      </w:r>
      <w:r>
        <w:rPr>
          <w:bCs/>
          <w:sz w:val="32"/>
        </w:rPr>
        <w:t xml:space="preserve">adiation </w:t>
      </w:r>
      <w:r>
        <w:rPr>
          <w:rFonts w:hint="eastAsia"/>
          <w:bCs/>
          <w:sz w:val="32"/>
        </w:rPr>
        <w:t>S</w:t>
      </w:r>
      <w:r>
        <w:rPr>
          <w:bCs/>
          <w:sz w:val="32"/>
        </w:rPr>
        <w:t xml:space="preserve">afety and </w:t>
      </w:r>
      <w:r>
        <w:rPr>
          <w:rFonts w:hint="eastAsia"/>
          <w:bCs/>
          <w:sz w:val="32"/>
        </w:rPr>
        <w:t>P</w:t>
      </w:r>
      <w:r>
        <w:rPr>
          <w:bCs/>
          <w:sz w:val="32"/>
        </w:rPr>
        <w:t xml:space="preserve">rotection in </w:t>
      </w:r>
      <w:r>
        <w:rPr>
          <w:rFonts w:hint="eastAsia"/>
          <w:bCs/>
          <w:sz w:val="32"/>
        </w:rPr>
        <w:t>C</w:t>
      </w:r>
      <w:r>
        <w:rPr>
          <w:bCs/>
          <w:sz w:val="32"/>
        </w:rPr>
        <w:t xml:space="preserve">linical </w:t>
      </w:r>
      <w:r>
        <w:rPr>
          <w:rFonts w:hint="eastAsia"/>
          <w:bCs/>
          <w:sz w:val="32"/>
        </w:rPr>
        <w:t>A</w:t>
      </w:r>
      <w:r>
        <w:rPr>
          <w:bCs/>
          <w:sz w:val="32"/>
        </w:rPr>
        <w:t xml:space="preserve">pplication </w:t>
      </w:r>
      <w:r>
        <w:rPr>
          <w:bCs/>
          <w:color w:val="auto"/>
          <w:sz w:val="32"/>
        </w:rPr>
        <w:t>of</w:t>
      </w:r>
      <w:r>
        <w:rPr>
          <w:bCs/>
          <w:sz w:val="32"/>
        </w:rPr>
        <w:t xml:space="preserve"> </w:t>
      </w:r>
      <w:r>
        <w:rPr>
          <w:rFonts w:hint="eastAsia"/>
          <w:bCs/>
          <w:sz w:val="32"/>
        </w:rPr>
        <w:t>Y</w:t>
      </w:r>
      <w:r>
        <w:rPr>
          <w:bCs/>
          <w:sz w:val="32"/>
        </w:rPr>
        <w:t xml:space="preserve">ttrium-90 </w:t>
      </w:r>
      <w:r>
        <w:rPr>
          <w:rFonts w:hint="eastAsia"/>
          <w:bCs/>
          <w:sz w:val="32"/>
        </w:rPr>
        <w:t>M</w:t>
      </w:r>
      <w:r>
        <w:rPr>
          <w:bCs/>
          <w:sz w:val="32"/>
        </w:rPr>
        <w:t>icrospheres</w:t>
      </w:r>
    </w:p>
    <w:p>
      <w:pPr>
        <w:jc w:val="center"/>
        <w:rPr>
          <w:b/>
          <w:sz w:val="32"/>
        </w:rPr>
      </w:pPr>
    </w:p>
    <w:p>
      <w:pPr>
        <w:jc w:val="center"/>
        <w:rPr>
          <w:bCs/>
          <w:szCs w:val="21"/>
        </w:rPr>
      </w:pPr>
      <w:r>
        <w:rPr>
          <w:rFonts w:hint="eastAsia"/>
          <w:bCs/>
          <w:szCs w:val="21"/>
        </w:rPr>
        <w:t>（征求意见稿）</w:t>
      </w:r>
    </w:p>
    <w:p>
      <w:pPr>
        <w:spacing w:line="360" w:lineRule="auto"/>
        <w:jc w:val="center"/>
        <w:rPr>
          <w:rFonts w:eastAsia="Times New Roman"/>
          <w:b/>
          <w:sz w:val="32"/>
        </w:rPr>
      </w:pPr>
    </w:p>
    <w:p>
      <w:pPr>
        <w:spacing w:line="360" w:lineRule="auto"/>
        <w:jc w:val="center"/>
        <w:rPr>
          <w:rFonts w:eastAsia="Times New Roman"/>
          <w:b/>
          <w:sz w:val="32"/>
        </w:rPr>
      </w:pPr>
    </w:p>
    <w:p>
      <w:pPr>
        <w:spacing w:line="360" w:lineRule="auto"/>
        <w:jc w:val="center"/>
        <w:rPr>
          <w:rFonts w:eastAsiaTheme="minorEastAsia"/>
          <w:b/>
          <w:sz w:val="32"/>
        </w:rPr>
      </w:pPr>
    </w:p>
    <w:p>
      <w:pPr>
        <w:spacing w:line="360" w:lineRule="auto"/>
        <w:jc w:val="center"/>
        <w:rPr>
          <w:rFonts w:eastAsiaTheme="minorEastAsia"/>
          <w:b/>
          <w:sz w:val="32"/>
        </w:rPr>
      </w:pPr>
    </w:p>
    <w:p>
      <w:pPr>
        <w:spacing w:line="360" w:lineRule="auto"/>
        <w:jc w:val="center"/>
        <w:rPr>
          <w:rFonts w:eastAsiaTheme="minorEastAsia"/>
          <w:b/>
          <w:sz w:val="32"/>
        </w:rPr>
      </w:pPr>
    </w:p>
    <w:p>
      <w:pPr>
        <w:jc w:val="left"/>
        <w:rPr>
          <w:rFonts w:eastAsia="黑体"/>
          <w:sz w:val="28"/>
          <w:u w:val="thick"/>
        </w:rPr>
      </w:pPr>
    </w:p>
    <w:p>
      <w:pPr>
        <w:jc w:val="left"/>
        <w:rPr>
          <w:rFonts w:eastAsia="黑体"/>
          <w:sz w:val="28"/>
          <w:u w:val="thick"/>
        </w:rPr>
      </w:pPr>
      <w:r>
        <w:rPr>
          <w:rFonts w:eastAsia="黑体"/>
          <w:sz w:val="28"/>
          <w:u w:val="thick"/>
        </w:rPr>
        <w:t xml:space="preserve">2025-  -  发布                          2025-  -  实施  </w:t>
      </w:r>
    </w:p>
    <w:p>
      <w:pPr>
        <w:spacing w:line="360" w:lineRule="auto"/>
        <w:jc w:val="center"/>
      </w:pPr>
      <w:r>
        <w:rPr>
          <w:rFonts w:eastAsia="黑体"/>
          <w:sz w:val="28"/>
        </w:rPr>
        <w:t>陕西省市场监督管理局</w:t>
      </w:r>
      <w:r>
        <w:rPr>
          <w:rFonts w:hint="eastAsia" w:eastAsia="黑体"/>
          <w:sz w:val="28"/>
        </w:rPr>
        <w:t xml:space="preserve">  </w:t>
      </w:r>
      <w:r>
        <w:rPr>
          <w:rFonts w:eastAsia="黑体"/>
          <w:sz w:val="28"/>
        </w:rPr>
        <w:t>发布</w:t>
      </w:r>
    </w:p>
    <w:p>
      <w:pPr>
        <w:spacing w:line="360" w:lineRule="auto"/>
        <w:jc w:val="center"/>
        <w:sectPr>
          <w:footerReference r:id="rId3" w:type="default"/>
          <w:pgSz w:w="11906" w:h="16838"/>
          <w:pgMar w:top="1440" w:right="1800" w:bottom="1440" w:left="1800" w:header="851" w:footer="992" w:gutter="0"/>
          <w:cols w:space="425" w:num="1"/>
          <w:docGrid w:type="lines" w:linePitch="312" w:charSpace="0"/>
        </w:sectPr>
      </w:pPr>
    </w:p>
    <w:p>
      <w:pPr>
        <w:pStyle w:val="16"/>
        <w:spacing w:line="360" w:lineRule="auto"/>
        <w:rPr>
          <w:rFonts w:ascii="Times New Roman" w:hAnsi="Times New Roman"/>
          <w:color w:val="auto"/>
        </w:rPr>
        <w:sectPr>
          <w:footerReference r:id="rId4" w:type="default"/>
          <w:pgSz w:w="11906" w:h="16838"/>
          <w:pgMar w:top="1440" w:right="1800" w:bottom="1440" w:left="1800" w:header="851" w:footer="992" w:gutter="0"/>
          <w:pgNumType w:start="1"/>
          <w:cols w:space="425" w:num="1"/>
          <w:docGrid w:type="lines" w:linePitch="312" w:charSpace="0"/>
        </w:sectPr>
      </w:pPr>
    </w:p>
    <w:p>
      <w:pPr>
        <w:pStyle w:val="16"/>
        <w:spacing w:line="360" w:lineRule="auto"/>
        <w:rPr>
          <w:rFonts w:ascii="Times New Roman" w:hAnsi="Times New Roman"/>
          <w:color w:val="auto"/>
        </w:rPr>
      </w:pPr>
      <w:r>
        <w:rPr>
          <w:rFonts w:ascii="Times New Roman" w:hAnsi="Times New Roman"/>
          <w:color w:val="auto"/>
        </w:rPr>
        <w:t>目</w:t>
      </w:r>
      <w:r>
        <w:rPr>
          <w:rFonts w:hint="eastAsia" w:ascii="Times New Roman" w:hAnsi="Times New Roman"/>
          <w:color w:val="auto"/>
        </w:rPr>
        <w:t xml:space="preserve">  </w:t>
      </w:r>
      <w:r>
        <w:rPr>
          <w:rFonts w:ascii="Times New Roman" w:hAnsi="Times New Roman"/>
          <w:color w:val="auto"/>
        </w:rPr>
        <w:t>次</w:t>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TOC \o "1-1" \f \h \z \u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_Toc3812 </w:instrText>
      </w:r>
      <w:r>
        <w:rPr>
          <w:rFonts w:hint="eastAsia" w:ascii="宋体" w:hAnsi="宋体" w:eastAsia="宋体" w:cs="宋体"/>
          <w:szCs w:val="21"/>
        </w:rPr>
        <w:fldChar w:fldCharType="separate"/>
      </w:r>
      <w:r>
        <w:rPr>
          <w:rFonts w:hint="eastAsia" w:ascii="宋体" w:hAnsi="宋体" w:eastAsia="宋体" w:cs="宋体"/>
          <w:szCs w:val="22"/>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_Toc3812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_Toc2481 </w:instrText>
      </w:r>
      <w:r>
        <w:rPr>
          <w:rFonts w:hint="eastAsia" w:ascii="宋体" w:hAnsi="宋体" w:eastAsia="宋体" w:cs="宋体"/>
          <w:szCs w:val="21"/>
        </w:rPr>
        <w:fldChar w:fldCharType="separate"/>
      </w:r>
      <w:r>
        <w:rPr>
          <w:rFonts w:hint="eastAsia" w:ascii="宋体" w:hAnsi="宋体" w:eastAsia="宋体" w:cs="宋体"/>
          <w:szCs w:val="22"/>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_Toc2481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_Toc24824 </w:instrText>
      </w:r>
      <w:r>
        <w:rPr>
          <w:rFonts w:hint="eastAsia" w:ascii="宋体" w:hAnsi="宋体" w:eastAsia="宋体" w:cs="宋体"/>
          <w:szCs w:val="21"/>
        </w:rPr>
        <w:fldChar w:fldCharType="separate"/>
      </w:r>
      <w:r>
        <w:rPr>
          <w:rFonts w:hint="eastAsia" w:ascii="宋体" w:hAnsi="宋体" w:eastAsia="宋体" w:cs="宋体"/>
          <w:szCs w:val="22"/>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_Toc24824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_Toc26063 </w:instrText>
      </w:r>
      <w:r>
        <w:rPr>
          <w:rFonts w:hint="eastAsia" w:ascii="宋体" w:hAnsi="宋体" w:eastAsia="宋体" w:cs="宋体"/>
          <w:szCs w:val="21"/>
        </w:rPr>
        <w:fldChar w:fldCharType="separate"/>
      </w:r>
      <w:r>
        <w:rPr>
          <w:rFonts w:hint="eastAsia" w:ascii="宋体" w:hAnsi="宋体" w:eastAsia="宋体" w:cs="宋体"/>
          <w:szCs w:val="21"/>
        </w:rPr>
        <w:t xml:space="preserve">4 </w:t>
      </w:r>
      <w:r>
        <w:rPr>
          <w:rFonts w:hint="eastAsia" w:ascii="宋体" w:hAnsi="宋体" w:eastAsia="宋体" w:cs="宋体"/>
          <w:szCs w:val="22"/>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_Toc26063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_Toc21051 </w:instrText>
      </w:r>
      <w:r>
        <w:rPr>
          <w:rFonts w:hint="eastAsia" w:ascii="宋体" w:hAnsi="宋体" w:eastAsia="宋体" w:cs="宋体"/>
          <w:szCs w:val="21"/>
        </w:rPr>
        <w:fldChar w:fldCharType="separate"/>
      </w:r>
      <w:r>
        <w:rPr>
          <w:rFonts w:hint="eastAsia" w:ascii="宋体" w:hAnsi="宋体" w:eastAsia="宋体" w:cs="宋体"/>
          <w:szCs w:val="22"/>
        </w:rPr>
        <w:t>5 工作场所要求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_Toc21051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_Toc2895 </w:instrText>
      </w:r>
      <w:r>
        <w:rPr>
          <w:rFonts w:hint="eastAsia" w:ascii="宋体" w:hAnsi="宋体" w:eastAsia="宋体" w:cs="宋体"/>
          <w:szCs w:val="21"/>
        </w:rPr>
        <w:fldChar w:fldCharType="separate"/>
      </w:r>
      <w:r>
        <w:rPr>
          <w:rFonts w:hint="eastAsia" w:ascii="宋体" w:hAnsi="宋体" w:eastAsia="宋体" w:cs="宋体"/>
          <w:kern w:val="0"/>
          <w:szCs w:val="21"/>
          <w:lang w:bidi="ar"/>
        </w:rPr>
        <w:t xml:space="preserve">6 </w:t>
      </w:r>
      <w:r>
        <w:rPr>
          <w:rFonts w:hint="eastAsia" w:ascii="宋体" w:hAnsi="宋体" w:eastAsia="宋体" w:cs="宋体"/>
          <w:szCs w:val="22"/>
        </w:rPr>
        <w:t>操作中的辐射安全与放射防护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_Toc2895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_Toc22390 </w:instrText>
      </w:r>
      <w:r>
        <w:rPr>
          <w:rFonts w:hint="eastAsia" w:ascii="宋体" w:hAnsi="宋体" w:eastAsia="宋体" w:cs="宋体"/>
          <w:szCs w:val="21"/>
        </w:rPr>
        <w:fldChar w:fldCharType="separate"/>
      </w:r>
      <w:r>
        <w:rPr>
          <w:rFonts w:hint="eastAsia" w:ascii="宋体" w:hAnsi="宋体" w:eastAsia="宋体" w:cs="宋体"/>
          <w:szCs w:val="22"/>
        </w:rPr>
        <w:t>7 治疗后患者的辐射安全与防护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_Toc22390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_Toc30089 </w:instrText>
      </w:r>
      <w:r>
        <w:rPr>
          <w:rFonts w:hint="eastAsia" w:ascii="宋体" w:hAnsi="宋体" w:eastAsia="宋体" w:cs="宋体"/>
          <w:szCs w:val="21"/>
        </w:rPr>
        <w:fldChar w:fldCharType="separate"/>
      </w:r>
      <w:r>
        <w:rPr>
          <w:rFonts w:hint="eastAsia" w:ascii="宋体" w:hAnsi="宋体" w:eastAsia="宋体" w:cs="宋体"/>
          <w:szCs w:val="22"/>
        </w:rPr>
        <w:t>8 环境辐射监测要求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_Toc30089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_Toc6566 </w:instrText>
      </w:r>
      <w:r>
        <w:rPr>
          <w:rFonts w:hint="eastAsia" w:ascii="宋体" w:hAnsi="宋体" w:eastAsia="宋体" w:cs="宋体"/>
          <w:szCs w:val="21"/>
        </w:rPr>
        <w:fldChar w:fldCharType="separate"/>
      </w:r>
      <w:r>
        <w:rPr>
          <w:rFonts w:hint="eastAsia" w:ascii="宋体" w:hAnsi="宋体" w:eastAsia="宋体" w:cs="宋体"/>
          <w:szCs w:val="22"/>
        </w:rPr>
        <w:t>9 放射性废物管理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_Toc6566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_Toc24703 </w:instrText>
      </w:r>
      <w:r>
        <w:rPr>
          <w:rFonts w:hint="eastAsia" w:ascii="宋体" w:hAnsi="宋体" w:eastAsia="宋体" w:cs="宋体"/>
          <w:szCs w:val="21"/>
        </w:rPr>
        <w:fldChar w:fldCharType="separate"/>
      </w:r>
      <w:r>
        <w:rPr>
          <w:rFonts w:hint="eastAsia" w:ascii="宋体" w:hAnsi="宋体" w:eastAsia="宋体" w:cs="宋体"/>
          <w:szCs w:val="22"/>
        </w:rPr>
        <w:t>10 辐射事故应急响应要求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_Toc24703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_Toc10199 </w:instrText>
      </w:r>
      <w:r>
        <w:rPr>
          <w:rFonts w:hint="eastAsia" w:ascii="宋体" w:hAnsi="宋体" w:eastAsia="宋体" w:cs="宋体"/>
          <w:szCs w:val="21"/>
        </w:rPr>
        <w:fldChar w:fldCharType="separate"/>
      </w:r>
      <w:r>
        <w:rPr>
          <w:rFonts w:hint="eastAsia" w:ascii="宋体" w:hAnsi="宋体" w:eastAsia="宋体" w:cs="宋体"/>
        </w:rPr>
        <w:t>附录A</w: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HYPERLINK \l _Toc7635 </w:instrText>
      </w:r>
      <w:r>
        <w:rPr>
          <w:rFonts w:hint="eastAsia" w:ascii="宋体" w:hAnsi="宋体" w:eastAsia="宋体" w:cs="宋体"/>
          <w:szCs w:val="21"/>
        </w:rPr>
        <w:fldChar w:fldCharType="separate"/>
      </w:r>
      <w:r>
        <w:rPr>
          <w:rFonts w:hint="eastAsia" w:ascii="宋体" w:hAnsi="宋体" w:eastAsia="宋体" w:cs="宋体"/>
          <w:spacing w:val="-7"/>
          <w:szCs w:val="21"/>
        </w:rPr>
        <w:t>（规范性附录）</w: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HYPERLINK \l _Toc14533 </w:instrText>
      </w:r>
      <w:r>
        <w:rPr>
          <w:rFonts w:hint="eastAsia" w:ascii="宋体" w:hAnsi="宋体" w:eastAsia="宋体" w:cs="宋体"/>
          <w:szCs w:val="21"/>
        </w:rPr>
        <w:fldChar w:fldCharType="separate"/>
      </w:r>
      <w:r>
        <w:rPr>
          <w:rFonts w:hint="eastAsia" w:ascii="宋体" w:hAnsi="宋体" w:eastAsia="宋体" w:cs="宋体"/>
          <w:spacing w:val="-7"/>
          <w:szCs w:val="21"/>
        </w:rPr>
        <w:t>工作场所放射性表面污染控制水平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_Toc14533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16"/>
        <w:tabs>
          <w:tab w:val="right" w:leader="dot" w:pos="8306"/>
          <w:tab w:val="clear" w:pos="420"/>
          <w:tab w:val="clear" w:pos="8296"/>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_Toc3695 </w:instrText>
      </w:r>
      <w:r>
        <w:rPr>
          <w:rFonts w:hint="eastAsia" w:ascii="宋体" w:hAnsi="宋体" w:eastAsia="宋体" w:cs="宋体"/>
          <w:szCs w:val="21"/>
        </w:rPr>
        <w:fldChar w:fldCharType="separate"/>
      </w:r>
      <w:r>
        <w:rPr>
          <w:rFonts w:hint="eastAsia" w:ascii="宋体" w:hAnsi="宋体" w:eastAsia="宋体" w:cs="宋体"/>
          <w:spacing w:val="-7"/>
          <w:szCs w:val="21"/>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_Toc3695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1"/>
        </w:rPr>
        <w:fldChar w:fldCharType="end"/>
      </w:r>
    </w:p>
    <w:p>
      <w:pPr>
        <w:widowControl/>
        <w:spacing w:before="78" w:beforeLines="25" w:after="78" w:afterLines="25"/>
        <w:jc w:val="center"/>
      </w:pPr>
      <w:r>
        <w:rPr>
          <w:rFonts w:hint="eastAsia" w:ascii="宋体" w:hAnsi="宋体" w:eastAsia="宋体" w:cs="宋体"/>
          <w:szCs w:val="21"/>
        </w:rPr>
        <w:fldChar w:fldCharType="end"/>
      </w:r>
      <w:r>
        <w:br w:type="page"/>
      </w:r>
    </w:p>
    <w:p>
      <w:pPr>
        <w:widowControl/>
        <w:spacing w:line="360" w:lineRule="auto"/>
        <w:jc w:val="center"/>
        <w:rPr>
          <w:rFonts w:eastAsia="黑体"/>
          <w:sz w:val="28"/>
          <w:szCs w:val="32"/>
        </w:rPr>
      </w:pPr>
      <w:r>
        <w:rPr>
          <w:rFonts w:eastAsia="黑体"/>
          <w:kern w:val="0"/>
          <w:sz w:val="32"/>
          <w:szCs w:val="22"/>
        </w:rPr>
        <w:t>前    言</w:t>
      </w:r>
    </w:p>
    <w:p>
      <w:pPr>
        <w:widowControl/>
        <w:spacing w:line="360" w:lineRule="auto"/>
        <w:jc w:val="center"/>
        <w:rPr>
          <w:rFonts w:eastAsia="黑体"/>
          <w:sz w:val="28"/>
          <w:szCs w:val="32"/>
        </w:rPr>
      </w:pPr>
    </w:p>
    <w:p>
      <w:pPr>
        <w:pStyle w:val="38"/>
        <w:tabs>
          <w:tab w:val="center" w:pos="4201"/>
          <w:tab w:val="right" w:leader="dot" w:pos="9298"/>
        </w:tabs>
      </w:pPr>
      <w:r>
        <w:rPr>
          <w:rFonts w:hint="eastAsia"/>
        </w:rPr>
        <w:t>本文件按照GB/T 1.1-2020《标准化工作导则 第1部分：标准化文件的结构和起草规则》的规定起草。</w:t>
      </w:r>
    </w:p>
    <w:p>
      <w:pPr>
        <w:pStyle w:val="38"/>
        <w:tabs>
          <w:tab w:val="center" w:pos="4201"/>
          <w:tab w:val="right" w:leader="dot" w:pos="9298"/>
        </w:tabs>
        <w:rPr>
          <w:rFonts w:ascii="Times New Roman"/>
          <w:szCs w:val="22"/>
        </w:rPr>
      </w:pPr>
      <w:r>
        <w:rPr>
          <w:rFonts w:ascii="Times New Roman"/>
          <w:szCs w:val="22"/>
        </w:rPr>
        <w:t>本</w:t>
      </w:r>
      <w:r>
        <w:rPr>
          <w:rFonts w:hint="eastAsia" w:ascii="Times New Roman"/>
          <w:szCs w:val="22"/>
        </w:rPr>
        <w:t>文件</w:t>
      </w:r>
      <w:r>
        <w:rPr>
          <w:rFonts w:ascii="Times New Roman"/>
          <w:szCs w:val="22"/>
        </w:rPr>
        <w:t>由陕西省生态环境厅提出并归口。</w:t>
      </w:r>
    </w:p>
    <w:p>
      <w:pPr>
        <w:pStyle w:val="38"/>
        <w:tabs>
          <w:tab w:val="center" w:pos="4201"/>
          <w:tab w:val="right" w:leader="dot" w:pos="9298"/>
        </w:tabs>
        <w:rPr>
          <w:rFonts w:hint="eastAsia"/>
          <w:szCs w:val="22"/>
        </w:rPr>
      </w:pPr>
      <w:r>
        <w:rPr>
          <w:rFonts w:ascii="Times New Roman"/>
          <w:szCs w:val="22"/>
        </w:rPr>
        <w:t>本</w:t>
      </w:r>
      <w:r>
        <w:rPr>
          <w:rFonts w:hint="eastAsia" w:ascii="Times New Roman"/>
          <w:szCs w:val="22"/>
        </w:rPr>
        <w:t>文件</w:t>
      </w:r>
      <w:r>
        <w:rPr>
          <w:rFonts w:ascii="Times New Roman"/>
          <w:szCs w:val="22"/>
        </w:rPr>
        <w:t>起草单位：陕西省生态环境厅</w:t>
      </w:r>
      <w:r>
        <w:rPr>
          <w:rFonts w:hint="eastAsia" w:ascii="Times New Roman"/>
          <w:szCs w:val="22"/>
        </w:rPr>
        <w:t>、西安交通大学第一附属医</w:t>
      </w:r>
      <w:r>
        <w:rPr>
          <w:rFonts w:hint="eastAsia"/>
          <w:szCs w:val="22"/>
        </w:rPr>
        <w:t>院、</w:t>
      </w:r>
      <w:r>
        <w:rPr>
          <w:rFonts w:hint="eastAsia"/>
          <w:szCs w:val="22"/>
          <w:lang w:val="en-US" w:eastAsia="zh-CN"/>
        </w:rPr>
        <w:t>西安国际医学中心医院</w:t>
      </w:r>
      <w:r>
        <w:rPr>
          <w:rFonts w:hint="eastAsia"/>
          <w:szCs w:val="22"/>
        </w:rPr>
        <w:t>、西安交通大学能源与动力工程学院。</w:t>
      </w:r>
    </w:p>
    <w:p>
      <w:pPr>
        <w:pStyle w:val="38"/>
        <w:tabs>
          <w:tab w:val="center" w:pos="4201"/>
          <w:tab w:val="right" w:leader="dot" w:pos="9298"/>
        </w:tabs>
        <w:rPr>
          <w:rFonts w:ascii="Times New Roman"/>
          <w:szCs w:val="22"/>
        </w:rPr>
      </w:pPr>
      <w:r>
        <w:rPr>
          <w:rFonts w:ascii="Times New Roman"/>
          <w:szCs w:val="22"/>
        </w:rPr>
        <w:t>本</w:t>
      </w:r>
      <w:r>
        <w:rPr>
          <w:rFonts w:hint="eastAsia" w:ascii="Times New Roman"/>
          <w:szCs w:val="22"/>
        </w:rPr>
        <w:t>文件主要</w:t>
      </w:r>
      <w:r>
        <w:rPr>
          <w:rFonts w:ascii="Times New Roman"/>
          <w:szCs w:val="22"/>
        </w:rPr>
        <w:t>起草人：</w:t>
      </w:r>
      <w:bookmarkStart w:id="2" w:name="OLE_LINK14"/>
      <w:r>
        <w:rPr>
          <w:rFonts w:hint="eastAsia" w:ascii="Times New Roman"/>
          <w:szCs w:val="22"/>
          <w:lang w:val="en-US" w:eastAsia="zh-CN"/>
        </w:rPr>
        <w:t>汪源</w:t>
      </w:r>
      <w:r>
        <w:rPr>
          <w:rFonts w:hint="eastAsia" w:ascii="Times New Roman"/>
          <w:szCs w:val="22"/>
        </w:rPr>
        <w:t>、杨爱民、薛建军、韩国宏、王喆、谢欣、胡华四、</w:t>
      </w:r>
      <w:r>
        <w:rPr>
          <w:rFonts w:hint="eastAsia" w:ascii="Times New Roman"/>
          <w:szCs w:val="22"/>
          <w:lang w:val="en-US" w:eastAsia="zh-CN"/>
        </w:rPr>
        <w:t>商建波、</w:t>
      </w:r>
      <w:r>
        <w:rPr>
          <w:rFonts w:hint="eastAsia" w:ascii="Times New Roman"/>
          <w:szCs w:val="22"/>
        </w:rPr>
        <w:t>郭建新、高蕊</w:t>
      </w:r>
      <w:bookmarkStart w:id="3" w:name="OLE_LINK12"/>
      <w:r>
        <w:rPr>
          <w:rFonts w:hint="eastAsia" w:ascii="Times New Roman"/>
          <w:szCs w:val="22"/>
        </w:rPr>
        <w:t>、</w:t>
      </w:r>
      <w:bookmarkEnd w:id="3"/>
      <w:r>
        <w:rPr>
          <w:rFonts w:hint="eastAsia" w:ascii="Times New Roman"/>
          <w:szCs w:val="22"/>
        </w:rPr>
        <w:t>赵海涛、杨鹏、李岩松</w:t>
      </w:r>
      <w:r>
        <w:rPr>
          <w:rFonts w:hint="eastAsia" w:ascii="Times New Roman"/>
          <w:szCs w:val="22"/>
          <w:lang w:eastAsia="zh-CN"/>
        </w:rPr>
        <w:t>、</w:t>
      </w:r>
      <w:r>
        <w:rPr>
          <w:rFonts w:hint="eastAsia" w:ascii="Times New Roman"/>
          <w:szCs w:val="22"/>
          <w:lang w:val="en-US" w:eastAsia="zh-CN"/>
        </w:rPr>
        <w:t>李广军、杨善潮、鲁顺利、王云波</w:t>
      </w:r>
      <w:r>
        <w:rPr>
          <w:rFonts w:hint="eastAsia" w:ascii="Times New Roman"/>
          <w:szCs w:val="22"/>
        </w:rPr>
        <w:t>。</w:t>
      </w:r>
    </w:p>
    <w:bookmarkEnd w:id="2"/>
    <w:p>
      <w:pPr>
        <w:pStyle w:val="38"/>
        <w:tabs>
          <w:tab w:val="center" w:pos="4201"/>
          <w:tab w:val="right" w:leader="dot" w:pos="9298"/>
        </w:tabs>
        <w:rPr>
          <w:rFonts w:ascii="Times New Roman"/>
          <w:szCs w:val="22"/>
        </w:rPr>
      </w:pPr>
      <w:r>
        <w:rPr>
          <w:rFonts w:ascii="Times New Roman"/>
          <w:szCs w:val="22"/>
        </w:rPr>
        <w:t>本</w:t>
      </w:r>
      <w:r>
        <w:rPr>
          <w:rFonts w:hint="eastAsia" w:ascii="Times New Roman"/>
          <w:szCs w:val="22"/>
        </w:rPr>
        <w:t>文件</w:t>
      </w:r>
      <w:r>
        <w:rPr>
          <w:rFonts w:ascii="Times New Roman"/>
          <w:szCs w:val="22"/>
        </w:rPr>
        <w:t>由陕西省生态环境厅负责解释。</w:t>
      </w:r>
    </w:p>
    <w:p>
      <w:pPr>
        <w:pStyle w:val="38"/>
        <w:tabs>
          <w:tab w:val="center" w:pos="4201"/>
          <w:tab w:val="right" w:leader="dot" w:pos="9298"/>
        </w:tabs>
        <w:rPr>
          <w:rFonts w:ascii="Times New Roman"/>
          <w:szCs w:val="22"/>
        </w:rPr>
      </w:pPr>
      <w:r>
        <w:rPr>
          <w:rFonts w:ascii="Times New Roman"/>
          <w:szCs w:val="22"/>
        </w:rPr>
        <w:t>本</w:t>
      </w:r>
      <w:r>
        <w:rPr>
          <w:rFonts w:hint="eastAsia" w:ascii="Times New Roman"/>
          <w:szCs w:val="22"/>
        </w:rPr>
        <w:t>文件</w:t>
      </w:r>
      <w:r>
        <w:rPr>
          <w:rFonts w:ascii="Times New Roman"/>
          <w:szCs w:val="22"/>
        </w:rPr>
        <w:t>首次发布。</w:t>
      </w:r>
    </w:p>
    <w:p>
      <w:pPr>
        <w:pStyle w:val="38"/>
        <w:tabs>
          <w:tab w:val="center" w:pos="4201"/>
          <w:tab w:val="right" w:leader="dot" w:pos="9298"/>
        </w:tabs>
        <w:rPr>
          <w:rFonts w:ascii="Times New Roman"/>
          <w:szCs w:val="22"/>
        </w:rPr>
      </w:pPr>
      <w:r>
        <w:rPr>
          <w:rFonts w:hint="eastAsia" w:ascii="Times New Roman"/>
          <w:szCs w:val="22"/>
        </w:rPr>
        <w:t>联系信息如下：</w:t>
      </w:r>
    </w:p>
    <w:p>
      <w:pPr>
        <w:pStyle w:val="38"/>
        <w:tabs>
          <w:tab w:val="center" w:pos="4201"/>
          <w:tab w:val="right" w:leader="dot" w:pos="9298"/>
        </w:tabs>
      </w:pPr>
      <w:r>
        <w:rPr>
          <w:rFonts w:hint="eastAsia"/>
        </w:rPr>
        <w:t>单位：陕西省生态环境厅</w:t>
      </w:r>
    </w:p>
    <w:p>
      <w:pPr>
        <w:pStyle w:val="38"/>
        <w:tabs>
          <w:tab w:val="center" w:pos="4201"/>
          <w:tab w:val="right" w:leader="dot" w:pos="9298"/>
        </w:tabs>
      </w:pPr>
      <w:r>
        <w:rPr>
          <w:rFonts w:hint="eastAsia"/>
        </w:rPr>
        <w:t>电话：029-63916236</w:t>
      </w:r>
    </w:p>
    <w:p>
      <w:pPr>
        <w:pStyle w:val="38"/>
        <w:tabs>
          <w:tab w:val="center" w:pos="4201"/>
          <w:tab w:val="right" w:leader="dot" w:pos="9298"/>
        </w:tabs>
      </w:pPr>
      <w:r>
        <w:rPr>
          <w:rFonts w:hint="eastAsia"/>
        </w:rPr>
        <w:t>地址：陕西省西安市新城区省政府大楼</w:t>
      </w:r>
    </w:p>
    <w:p>
      <w:pPr>
        <w:pStyle w:val="38"/>
        <w:tabs>
          <w:tab w:val="center" w:pos="4201"/>
          <w:tab w:val="right" w:leader="dot" w:pos="9298"/>
        </w:tabs>
        <w:rPr>
          <w:rFonts w:ascii="Times New Roman"/>
          <w:szCs w:val="22"/>
        </w:rPr>
      </w:pPr>
      <w:r>
        <w:rPr>
          <w:rFonts w:hint="eastAsia"/>
        </w:rPr>
        <w:t>邮编：710006</w:t>
      </w:r>
    </w:p>
    <w:p>
      <w:pPr>
        <w:widowControl/>
        <w:spacing w:line="360" w:lineRule="auto"/>
        <w:jc w:val="left"/>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r>
        <w:br w:type="page"/>
      </w:r>
    </w:p>
    <w:p>
      <w:pPr>
        <w:spacing w:line="360" w:lineRule="auto"/>
        <w:jc w:val="center"/>
        <w:rPr>
          <w:rFonts w:eastAsia="黑体"/>
          <w:color w:val="auto"/>
          <w:sz w:val="28"/>
          <w:szCs w:val="28"/>
        </w:rPr>
      </w:pPr>
      <w:bookmarkStart w:id="4" w:name="OLE_LINK1"/>
      <w:r>
        <w:rPr>
          <w:rFonts w:hint="eastAsia" w:eastAsia="黑体"/>
          <w:color w:val="auto"/>
          <w:sz w:val="28"/>
          <w:szCs w:val="28"/>
        </w:rPr>
        <w:t>钇-90微球临床应用辐射安全与防护规范</w:t>
      </w:r>
      <w:bookmarkEnd w:id="4"/>
    </w:p>
    <w:p>
      <w:pPr>
        <w:pStyle w:val="34"/>
        <w:numPr>
          <w:ilvl w:val="0"/>
          <w:numId w:val="4"/>
        </w:numPr>
        <w:spacing w:before="312" w:beforeLines="100" w:after="312" w:afterLines="100"/>
        <w:ind w:firstLineChars="0"/>
        <w:outlineLvl w:val="0"/>
        <w:rPr>
          <w:rFonts w:eastAsia="黑体"/>
          <w:szCs w:val="22"/>
        </w:rPr>
      </w:pPr>
      <w:bookmarkStart w:id="5" w:name="_Toc3812"/>
      <w:r>
        <w:rPr>
          <w:rFonts w:eastAsia="黑体"/>
          <w:szCs w:val="22"/>
        </w:rPr>
        <w:t>范围</w:t>
      </w:r>
      <w:bookmarkEnd w:id="5"/>
    </w:p>
    <w:p>
      <w:pPr>
        <w:pStyle w:val="38"/>
        <w:tabs>
          <w:tab w:val="center" w:pos="4201"/>
          <w:tab w:val="right" w:leader="dot" w:pos="9298"/>
        </w:tabs>
        <w:rPr>
          <w:rFonts w:hint="eastAsia" w:ascii="Times New Roman"/>
          <w:szCs w:val="22"/>
        </w:rPr>
      </w:pPr>
      <w:r>
        <w:rPr>
          <w:rFonts w:ascii="Times New Roman"/>
          <w:szCs w:val="22"/>
        </w:rPr>
        <w:t>本</w:t>
      </w:r>
      <w:r>
        <w:rPr>
          <w:rFonts w:hint="eastAsia" w:ascii="Times New Roman"/>
          <w:szCs w:val="22"/>
        </w:rPr>
        <w:t>文件规定了医疗机构使</w:t>
      </w:r>
      <w:r>
        <w:rPr>
          <w:rFonts w:hint="default" w:ascii="Times New Roman"/>
          <w:szCs w:val="22"/>
        </w:rPr>
        <w:t>用</w:t>
      </w:r>
      <w:bookmarkStart w:id="6" w:name="OLE_LINK3"/>
      <w:r>
        <w:rPr>
          <w:rFonts w:hint="default" w:ascii="Times New Roman"/>
          <w:color w:val="auto"/>
          <w:szCs w:val="22"/>
        </w:rPr>
        <w:t>钇-90</w:t>
      </w:r>
      <w:bookmarkEnd w:id="6"/>
      <w:r>
        <w:rPr>
          <w:rFonts w:hint="default" w:ascii="Times New Roman"/>
          <w:szCs w:val="22"/>
        </w:rPr>
        <w:t>微球进行临床诊疗</w:t>
      </w:r>
      <w:r>
        <w:rPr>
          <w:rFonts w:hint="eastAsia" w:ascii="Times New Roman"/>
          <w:szCs w:val="22"/>
          <w:lang w:val="en-US" w:eastAsia="zh-CN"/>
        </w:rPr>
        <w:t>中的</w:t>
      </w:r>
      <w:r>
        <w:rPr>
          <w:rFonts w:hint="eastAsia" w:ascii="Times New Roman"/>
          <w:szCs w:val="22"/>
        </w:rPr>
        <w:t>辐射安全与防护</w:t>
      </w:r>
      <w:r>
        <w:rPr>
          <w:rFonts w:hint="default" w:ascii="Times New Roman"/>
          <w:szCs w:val="22"/>
          <w:lang w:val="en-US" w:eastAsia="zh-CN"/>
        </w:rPr>
        <w:t>总则、工作场所要求、操作中的辐射安全与防护、治疗后患者的辐射安全与防护</w:t>
      </w:r>
      <w:r>
        <w:rPr>
          <w:rFonts w:hint="eastAsia" w:ascii="Times New Roman"/>
          <w:szCs w:val="22"/>
          <w:lang w:val="en-US" w:eastAsia="zh-CN"/>
        </w:rPr>
        <w:t>、环境辐射监测要求、</w:t>
      </w:r>
      <w:r>
        <w:rPr>
          <w:rFonts w:hint="default" w:ascii="Times New Roman"/>
          <w:szCs w:val="22"/>
          <w:lang w:val="en-US" w:eastAsia="zh-CN"/>
        </w:rPr>
        <w:t>放射性废物管理</w:t>
      </w:r>
      <w:r>
        <w:rPr>
          <w:rFonts w:hint="eastAsia" w:ascii="Times New Roman"/>
          <w:szCs w:val="22"/>
          <w:lang w:val="en-US" w:eastAsia="zh-CN"/>
        </w:rPr>
        <w:t>以及辐射事故应急响应要求等</w:t>
      </w:r>
      <w:r>
        <w:rPr>
          <w:rFonts w:hint="default" w:ascii="Times New Roman"/>
          <w:szCs w:val="22"/>
        </w:rPr>
        <w:t>。</w:t>
      </w:r>
    </w:p>
    <w:p>
      <w:pPr>
        <w:pStyle w:val="38"/>
        <w:tabs>
          <w:tab w:val="center" w:pos="4201"/>
          <w:tab w:val="right" w:leader="dot" w:pos="9298"/>
        </w:tabs>
        <w:rPr>
          <w:rFonts w:ascii="Times New Roman"/>
          <w:szCs w:val="22"/>
        </w:rPr>
      </w:pPr>
      <w:r>
        <w:rPr>
          <w:rFonts w:ascii="Times New Roman"/>
          <w:szCs w:val="22"/>
        </w:rPr>
        <w:t>本</w:t>
      </w:r>
      <w:r>
        <w:rPr>
          <w:rFonts w:hint="eastAsia" w:ascii="Times New Roman"/>
          <w:szCs w:val="22"/>
        </w:rPr>
        <w:t>文件适用于医疗机构开展</w:t>
      </w:r>
      <w:r>
        <w:rPr>
          <w:rFonts w:hint="default" w:ascii="Times New Roman"/>
          <w:szCs w:val="22"/>
        </w:rPr>
        <w:t>钇-90</w:t>
      </w:r>
      <w:r>
        <w:rPr>
          <w:rFonts w:hint="eastAsia" w:ascii="Times New Roman"/>
          <w:szCs w:val="22"/>
        </w:rPr>
        <w:t>微球临床诊疗活动的辐射安全与防护管理，</w:t>
      </w:r>
      <w:r>
        <w:rPr>
          <w:rFonts w:hint="default" w:ascii="Times New Roman"/>
          <w:szCs w:val="22"/>
        </w:rPr>
        <w:t>钇-90</w:t>
      </w:r>
      <w:r>
        <w:rPr>
          <w:rFonts w:hint="eastAsia" w:ascii="Times New Roman"/>
          <w:szCs w:val="22"/>
        </w:rPr>
        <w:t>微球相关</w:t>
      </w:r>
      <w:bookmarkStart w:id="7" w:name="OLE_LINK4"/>
      <w:r>
        <w:rPr>
          <w:rFonts w:hint="eastAsia" w:ascii="Times New Roman"/>
          <w:szCs w:val="22"/>
        </w:rPr>
        <w:t>生物实验研究</w:t>
      </w:r>
      <w:bookmarkEnd w:id="7"/>
      <w:bookmarkStart w:id="8" w:name="OLE_LINK5"/>
      <w:r>
        <w:rPr>
          <w:rFonts w:hint="eastAsia" w:ascii="Times New Roman"/>
          <w:szCs w:val="22"/>
          <w:lang w:val="en-US" w:eastAsia="zh-CN"/>
        </w:rPr>
        <w:t>可</w:t>
      </w:r>
      <w:r>
        <w:rPr>
          <w:rFonts w:hint="eastAsia" w:ascii="Times New Roman"/>
          <w:szCs w:val="22"/>
        </w:rPr>
        <w:t>参考本</w:t>
      </w:r>
      <w:r>
        <w:rPr>
          <w:rFonts w:hint="eastAsia" w:ascii="Times New Roman"/>
          <w:szCs w:val="22"/>
          <w:lang w:val="en-US" w:eastAsia="zh-CN"/>
        </w:rPr>
        <w:t>文件</w:t>
      </w:r>
      <w:r>
        <w:rPr>
          <w:rFonts w:hint="eastAsia" w:ascii="Times New Roman"/>
          <w:szCs w:val="22"/>
        </w:rPr>
        <w:t>相关内容</w:t>
      </w:r>
      <w:bookmarkEnd w:id="8"/>
      <w:r>
        <w:rPr>
          <w:rFonts w:ascii="Times New Roman"/>
          <w:szCs w:val="22"/>
        </w:rPr>
        <w:t>。</w:t>
      </w:r>
    </w:p>
    <w:p>
      <w:pPr>
        <w:pStyle w:val="34"/>
        <w:numPr>
          <w:ilvl w:val="0"/>
          <w:numId w:val="4"/>
        </w:numPr>
        <w:spacing w:before="312" w:beforeLines="100" w:after="312" w:afterLines="100"/>
        <w:ind w:firstLineChars="0"/>
        <w:outlineLvl w:val="0"/>
        <w:rPr>
          <w:rFonts w:eastAsia="黑体"/>
          <w:szCs w:val="22"/>
        </w:rPr>
      </w:pPr>
      <w:bookmarkStart w:id="9" w:name="_Toc2481"/>
      <w:r>
        <w:rPr>
          <w:rFonts w:eastAsia="黑体"/>
          <w:szCs w:val="22"/>
        </w:rPr>
        <w:t>规范性引用文件</w:t>
      </w:r>
      <w:bookmarkEnd w:id="9"/>
    </w:p>
    <w:p>
      <w:pPr>
        <w:pStyle w:val="38"/>
        <w:tabs>
          <w:tab w:val="center" w:pos="4201"/>
          <w:tab w:val="right" w:leader="dot" w:pos="9298"/>
        </w:tabs>
        <w:rPr>
          <w:szCs w:val="22"/>
        </w:rPr>
      </w:pPr>
      <w:r>
        <w:rPr>
          <w:rFonts w:hint="default" w:ascii="Times New Roman"/>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4"/>
        <w:ind w:firstLine="424" w:firstLineChars="202"/>
        <w:rPr>
          <w:szCs w:val="22"/>
        </w:rPr>
      </w:pPr>
      <w:r>
        <w:rPr>
          <w:rFonts w:hint="eastAsia"/>
          <w:szCs w:val="22"/>
        </w:rPr>
        <w:t>GB 18871  电离辐射防护与辐射源安全基本标准</w:t>
      </w:r>
    </w:p>
    <w:p>
      <w:pPr>
        <w:pStyle w:val="34"/>
        <w:ind w:firstLine="424" w:firstLineChars="202"/>
        <w:rPr>
          <w:szCs w:val="22"/>
        </w:rPr>
      </w:pPr>
      <w:r>
        <w:rPr>
          <w:rFonts w:hint="eastAsia"/>
          <w:szCs w:val="22"/>
        </w:rPr>
        <w:t>GBZ 120  核医学放射防护要求</w:t>
      </w:r>
    </w:p>
    <w:p>
      <w:pPr>
        <w:pStyle w:val="34"/>
        <w:ind w:firstLine="424" w:firstLineChars="202"/>
        <w:rPr>
          <w:szCs w:val="22"/>
        </w:rPr>
      </w:pPr>
      <w:r>
        <w:rPr>
          <w:rFonts w:hint="eastAsia"/>
          <w:szCs w:val="22"/>
        </w:rPr>
        <w:t>GBZ</w:t>
      </w:r>
      <w:r>
        <w:rPr>
          <w:szCs w:val="22"/>
        </w:rPr>
        <w:t xml:space="preserve"> </w:t>
      </w:r>
      <w:r>
        <w:rPr>
          <w:rFonts w:hint="eastAsia"/>
          <w:szCs w:val="22"/>
        </w:rPr>
        <w:t>130  放射诊断放射防护要求</w:t>
      </w:r>
    </w:p>
    <w:p>
      <w:pPr>
        <w:pStyle w:val="34"/>
        <w:ind w:firstLine="424" w:firstLineChars="202"/>
      </w:pPr>
      <w:r>
        <w:rPr>
          <w:rFonts w:hint="eastAsia"/>
          <w:szCs w:val="22"/>
        </w:rPr>
        <w:t>HJ 1188  核医学辐射防护与安全要求</w:t>
      </w:r>
    </w:p>
    <w:p>
      <w:pPr>
        <w:pStyle w:val="34"/>
        <w:numPr>
          <w:ilvl w:val="0"/>
          <w:numId w:val="4"/>
        </w:numPr>
        <w:spacing w:before="312" w:beforeLines="100" w:after="312" w:afterLines="100"/>
        <w:ind w:firstLineChars="0"/>
        <w:outlineLvl w:val="0"/>
        <w:rPr>
          <w:rFonts w:eastAsia="黑体"/>
          <w:szCs w:val="22"/>
        </w:rPr>
      </w:pPr>
      <w:bookmarkStart w:id="10" w:name="_Toc24824"/>
      <w:r>
        <w:rPr>
          <w:rFonts w:eastAsia="黑体"/>
          <w:szCs w:val="22"/>
        </w:rPr>
        <w:t>术语和定义</w:t>
      </w:r>
      <w:bookmarkEnd w:id="10"/>
    </w:p>
    <w:p>
      <w:pPr>
        <w:widowControl/>
        <w:ind w:firstLine="420" w:firstLineChars="200"/>
        <w:jc w:val="left"/>
        <w:rPr>
          <w:kern w:val="0"/>
          <w:szCs w:val="21"/>
          <w:lang w:bidi="ar"/>
        </w:rPr>
      </w:pPr>
      <w:r>
        <w:rPr>
          <w:rFonts w:hint="eastAsia"/>
          <w:kern w:val="0"/>
          <w:szCs w:val="21"/>
          <w:lang w:bidi="ar"/>
        </w:rPr>
        <w:t>下列术语和定义适用于本文件。</w:t>
      </w:r>
    </w:p>
    <w:p>
      <w:pPr>
        <w:pStyle w:val="34"/>
        <w:numPr>
          <w:ilvl w:val="1"/>
          <w:numId w:val="4"/>
        </w:numPr>
        <w:spacing w:before="156" w:beforeLines="50" w:after="156" w:afterLines="50"/>
        <w:ind w:left="0" w:firstLine="0" w:firstLineChars="0"/>
        <w:rPr>
          <w:rFonts w:eastAsia="黑体"/>
          <w:szCs w:val="22"/>
        </w:rPr>
      </w:pPr>
    </w:p>
    <w:p>
      <w:pPr>
        <w:pStyle w:val="34"/>
        <w:spacing w:line="360" w:lineRule="auto"/>
        <w:rPr>
          <w:rFonts w:eastAsia="黑体"/>
          <w:color w:val="FF0000"/>
          <w:szCs w:val="22"/>
        </w:rPr>
      </w:pPr>
      <w:r>
        <w:rPr>
          <w:rFonts w:hint="eastAsia" w:eastAsia="黑体"/>
          <w:color w:val="auto"/>
          <w:szCs w:val="22"/>
        </w:rPr>
        <w:t>钇</w:t>
      </w:r>
      <w:r>
        <w:rPr>
          <w:rFonts w:eastAsia="黑体"/>
          <w:color w:val="auto"/>
          <w:szCs w:val="22"/>
        </w:rPr>
        <w:t>-90</w:t>
      </w:r>
      <w:r>
        <w:rPr>
          <w:rFonts w:hint="eastAsia" w:eastAsia="黑体"/>
          <w:color w:val="auto"/>
          <w:szCs w:val="22"/>
        </w:rPr>
        <w:t>微球</w:t>
      </w:r>
      <w:r>
        <w:rPr>
          <w:rFonts w:eastAsia="黑体"/>
          <w:color w:val="auto"/>
          <w:szCs w:val="22"/>
        </w:rPr>
        <w:t>yttrium-90 microspheres</w:t>
      </w:r>
    </w:p>
    <w:p>
      <w:pPr>
        <w:pStyle w:val="34"/>
        <w:ind w:firstLine="424" w:firstLineChars="202"/>
        <w:rPr>
          <w:rFonts w:hint="eastAsia"/>
          <w:szCs w:val="22"/>
        </w:rPr>
      </w:pPr>
      <w:r>
        <w:rPr>
          <w:rFonts w:hint="eastAsia"/>
          <w:szCs w:val="22"/>
        </w:rPr>
        <w:t>采用树脂、玻璃或其他材料与放射性核素</w:t>
      </w:r>
      <w:r>
        <w:rPr>
          <w:rFonts w:hint="eastAsia"/>
          <w:szCs w:val="22"/>
          <w:vertAlign w:val="baseline"/>
          <w:lang w:eastAsia="zh-CN"/>
        </w:rPr>
        <w:t>钇-90</w:t>
      </w:r>
      <w:r>
        <w:rPr>
          <w:rFonts w:hint="eastAsia"/>
          <w:szCs w:val="22"/>
        </w:rPr>
        <w:t>结合后</w:t>
      </w:r>
      <w:r>
        <w:rPr>
          <w:rFonts w:hint="eastAsia"/>
          <w:szCs w:val="22"/>
          <w:lang w:eastAsia="zh-CN"/>
        </w:rPr>
        <w:t>，</w:t>
      </w:r>
      <w:r>
        <w:rPr>
          <w:rFonts w:hint="eastAsia"/>
          <w:szCs w:val="22"/>
          <w:lang w:val="en-US" w:eastAsia="zh-CN"/>
        </w:rPr>
        <w:t>和</w:t>
      </w:r>
      <w:r>
        <w:rPr>
          <w:rFonts w:hint="eastAsia"/>
          <w:szCs w:val="22"/>
        </w:rPr>
        <w:t>无菌溶媒混合制成的混悬液。</w:t>
      </w:r>
    </w:p>
    <w:p>
      <w:pPr>
        <w:pStyle w:val="34"/>
        <w:numPr>
          <w:ilvl w:val="1"/>
          <w:numId w:val="4"/>
        </w:numPr>
        <w:spacing w:before="156" w:beforeLines="50" w:after="156" w:afterLines="50"/>
        <w:ind w:left="0" w:firstLine="0" w:firstLineChars="0"/>
        <w:rPr>
          <w:rFonts w:hint="eastAsia" w:eastAsia="黑体"/>
          <w:szCs w:val="22"/>
        </w:rPr>
      </w:pPr>
    </w:p>
    <w:p>
      <w:pPr>
        <w:pStyle w:val="34"/>
        <w:spacing w:line="360" w:lineRule="auto"/>
        <w:rPr>
          <w:rFonts w:hint="default" w:eastAsia="黑体"/>
          <w:szCs w:val="22"/>
          <w:lang w:val="en-US" w:eastAsia="zh-CN"/>
        </w:rPr>
      </w:pPr>
      <w:r>
        <w:rPr>
          <w:rFonts w:hint="eastAsia" w:eastAsia="黑体"/>
          <w:szCs w:val="22"/>
          <w:lang w:val="en-US" w:eastAsia="zh-CN"/>
        </w:rPr>
        <w:t>选择性内照射治疗 selective internal radiation therapy</w:t>
      </w:r>
    </w:p>
    <w:p>
      <w:pPr>
        <w:widowControl/>
        <w:ind w:firstLine="420" w:firstLineChars="200"/>
        <w:jc w:val="left"/>
        <w:rPr>
          <w:rFonts w:hint="eastAsia"/>
          <w:kern w:val="0"/>
          <w:szCs w:val="21"/>
          <w:lang w:bidi="ar"/>
        </w:rPr>
      </w:pPr>
      <w:r>
        <w:rPr>
          <w:rFonts w:hint="eastAsia"/>
          <w:kern w:val="0"/>
          <w:szCs w:val="21"/>
          <w:lang w:bidi="ar"/>
        </w:rPr>
        <w:t>通过选择性血管插管方式将悬混液注射到靶区域，对靶肿瘤进行电离辐射内照射治疗，导致肿瘤坏死，实现肿瘤控制的目的。</w:t>
      </w:r>
    </w:p>
    <w:p>
      <w:pPr>
        <w:pStyle w:val="34"/>
        <w:numPr>
          <w:ilvl w:val="1"/>
          <w:numId w:val="4"/>
        </w:numPr>
        <w:spacing w:before="156" w:beforeLines="50" w:after="156" w:afterLines="50"/>
        <w:ind w:left="0" w:firstLine="0" w:firstLineChars="0"/>
        <w:rPr>
          <w:rFonts w:eastAsia="黑体"/>
          <w:szCs w:val="22"/>
        </w:rPr>
      </w:pPr>
      <w:r>
        <w:rPr>
          <w:rFonts w:hint="eastAsia" w:eastAsia="黑体"/>
          <w:szCs w:val="22"/>
        </w:rPr>
        <w:t>核医学nuclear medicine</w:t>
      </w:r>
    </w:p>
    <w:p>
      <w:pPr>
        <w:widowControl/>
        <w:ind w:firstLine="420" w:firstLineChars="200"/>
        <w:jc w:val="left"/>
        <w:rPr>
          <w:kern w:val="0"/>
          <w:szCs w:val="21"/>
          <w:lang w:bidi="ar"/>
        </w:rPr>
      </w:pPr>
      <w:r>
        <w:rPr>
          <w:rFonts w:hint="eastAsia"/>
          <w:kern w:val="0"/>
          <w:szCs w:val="21"/>
          <w:lang w:bidi="ar"/>
        </w:rPr>
        <w:t>利用放射性核素发射的射线对疾病进行诊断、治疗和科学研究的学科</w:t>
      </w:r>
      <w:r>
        <w:rPr>
          <w:kern w:val="0"/>
          <w:szCs w:val="21"/>
          <w:lang w:bidi="ar"/>
        </w:rPr>
        <w:t>。</w:t>
      </w:r>
    </w:p>
    <w:p>
      <w:pPr>
        <w:pStyle w:val="34"/>
        <w:ind w:firstLine="424" w:firstLineChars="202"/>
        <w:rPr>
          <w:szCs w:val="22"/>
        </w:rPr>
      </w:pPr>
      <w:r>
        <w:rPr>
          <w:rFonts w:hint="eastAsia"/>
          <w:szCs w:val="22"/>
        </w:rPr>
        <w:t>[来源：</w:t>
      </w:r>
      <w:r>
        <w:t>HJ 1188</w:t>
      </w:r>
      <w:r>
        <w:rPr>
          <w:rFonts w:hint="eastAsia"/>
        </w:rPr>
        <w:t>—</w:t>
      </w:r>
      <w:r>
        <w:t>2021</w:t>
      </w:r>
      <w:r>
        <w:rPr>
          <w:rFonts w:hint="eastAsia"/>
          <w:szCs w:val="22"/>
        </w:rPr>
        <w:t>, 3.</w:t>
      </w:r>
      <w:r>
        <w:rPr>
          <w:szCs w:val="22"/>
        </w:rPr>
        <w:t>1</w:t>
      </w:r>
      <w:r>
        <w:rPr>
          <w:rFonts w:hint="eastAsia"/>
          <w:szCs w:val="22"/>
        </w:rPr>
        <w:t>]</w:t>
      </w:r>
    </w:p>
    <w:p>
      <w:pPr>
        <w:pStyle w:val="34"/>
        <w:numPr>
          <w:ilvl w:val="1"/>
          <w:numId w:val="4"/>
        </w:numPr>
        <w:spacing w:before="156" w:beforeLines="50" w:after="156" w:afterLines="50"/>
        <w:ind w:left="0" w:firstLine="0" w:firstLineChars="0"/>
        <w:rPr>
          <w:rFonts w:eastAsia="黑体"/>
          <w:szCs w:val="22"/>
        </w:rPr>
      </w:pPr>
    </w:p>
    <w:p>
      <w:pPr>
        <w:pStyle w:val="34"/>
        <w:spacing w:line="360" w:lineRule="auto"/>
        <w:rPr>
          <w:rFonts w:eastAsia="黑体"/>
          <w:szCs w:val="22"/>
        </w:rPr>
      </w:pPr>
      <w:r>
        <w:rPr>
          <w:rFonts w:hint="eastAsia" w:eastAsia="黑体"/>
          <w:szCs w:val="22"/>
        </w:rPr>
        <w:t>控制区controlled area</w:t>
      </w:r>
    </w:p>
    <w:p>
      <w:pPr>
        <w:widowControl/>
        <w:ind w:firstLine="420" w:firstLineChars="200"/>
        <w:jc w:val="left"/>
        <w:rPr>
          <w:kern w:val="0"/>
          <w:szCs w:val="21"/>
          <w:lang w:bidi="ar"/>
        </w:rPr>
      </w:pPr>
      <w:r>
        <w:rPr>
          <w:rFonts w:hint="eastAsia"/>
          <w:kern w:val="0"/>
          <w:szCs w:val="21"/>
          <w:lang w:bidi="ar"/>
        </w:rPr>
        <w:t>在辐射工作场所划分的一种区域，在这种区域内要求或可能要求采取专门的防护手段和安全措施，以便在正常工作条件下控制正常照射或防止污染扩散，以及防止潜在照射或限制其程度。</w:t>
      </w:r>
    </w:p>
    <w:p>
      <w:pPr>
        <w:widowControl/>
        <w:ind w:firstLine="420" w:firstLineChars="200"/>
        <w:jc w:val="left"/>
        <w:rPr>
          <w:kern w:val="0"/>
          <w:szCs w:val="21"/>
          <w:lang w:bidi="ar"/>
        </w:rPr>
      </w:pPr>
      <w:r>
        <w:rPr>
          <w:rFonts w:hint="eastAsia"/>
          <w:kern w:val="0"/>
          <w:szCs w:val="21"/>
          <w:lang w:bidi="ar"/>
        </w:rPr>
        <w:t>[来源：GB11871-2002, J3.5]</w:t>
      </w:r>
    </w:p>
    <w:p>
      <w:pPr>
        <w:pStyle w:val="34"/>
        <w:numPr>
          <w:ilvl w:val="1"/>
          <w:numId w:val="4"/>
        </w:numPr>
        <w:spacing w:before="156" w:beforeLines="50" w:after="156" w:afterLines="50"/>
        <w:ind w:left="0" w:firstLine="0" w:firstLineChars="0"/>
        <w:rPr>
          <w:rFonts w:eastAsia="黑体"/>
          <w:szCs w:val="22"/>
        </w:rPr>
      </w:pPr>
    </w:p>
    <w:p>
      <w:pPr>
        <w:pStyle w:val="34"/>
        <w:spacing w:line="360" w:lineRule="auto"/>
        <w:rPr>
          <w:rFonts w:eastAsia="黑体"/>
          <w:szCs w:val="22"/>
        </w:rPr>
      </w:pPr>
      <w:r>
        <w:rPr>
          <w:rFonts w:hint="eastAsia" w:eastAsia="黑体"/>
          <w:szCs w:val="22"/>
        </w:rPr>
        <w:t>监督区supervised area</w:t>
      </w:r>
    </w:p>
    <w:p>
      <w:pPr>
        <w:widowControl/>
        <w:ind w:firstLine="420" w:firstLineChars="200"/>
        <w:jc w:val="left"/>
        <w:rPr>
          <w:kern w:val="0"/>
          <w:szCs w:val="21"/>
          <w:lang w:bidi="ar"/>
        </w:rPr>
      </w:pPr>
      <w:r>
        <w:rPr>
          <w:rFonts w:hint="eastAsia"/>
          <w:kern w:val="0"/>
          <w:szCs w:val="21"/>
          <w:lang w:bidi="ar"/>
        </w:rPr>
        <w:t>在辐射工作场所中未指定作为控制区的一个规定区域，通常不需要采取专门防护措施和安全手段，但要对职业照射情况定期进行检查的区域</w:t>
      </w:r>
      <w:r>
        <w:rPr>
          <w:kern w:val="0"/>
          <w:szCs w:val="21"/>
          <w:lang w:bidi="ar"/>
        </w:rPr>
        <w:t>。</w:t>
      </w:r>
    </w:p>
    <w:p>
      <w:pPr>
        <w:widowControl/>
        <w:ind w:firstLine="420" w:firstLineChars="200"/>
        <w:jc w:val="left"/>
        <w:rPr>
          <w:kern w:val="0"/>
          <w:szCs w:val="21"/>
          <w:lang w:bidi="ar"/>
        </w:rPr>
      </w:pPr>
      <w:r>
        <w:rPr>
          <w:rFonts w:hint="eastAsia"/>
          <w:szCs w:val="22"/>
        </w:rPr>
        <w:t>[来源：GBZ 1</w:t>
      </w:r>
      <w:r>
        <w:rPr>
          <w:szCs w:val="22"/>
        </w:rPr>
        <w:t>20</w:t>
      </w:r>
      <w:r>
        <w:rPr>
          <w:rFonts w:hint="eastAsia"/>
        </w:rPr>
        <w:t>—</w:t>
      </w:r>
      <w:r>
        <w:t>2020</w:t>
      </w:r>
      <w:r>
        <w:rPr>
          <w:rFonts w:hint="eastAsia"/>
          <w:szCs w:val="22"/>
        </w:rPr>
        <w:t>, 3.</w:t>
      </w:r>
      <w:r>
        <w:rPr>
          <w:szCs w:val="22"/>
        </w:rPr>
        <w:t>2</w:t>
      </w:r>
      <w:r>
        <w:rPr>
          <w:rFonts w:hint="eastAsia"/>
          <w:szCs w:val="22"/>
        </w:rPr>
        <w:t>]</w:t>
      </w:r>
    </w:p>
    <w:p>
      <w:pPr>
        <w:pStyle w:val="34"/>
        <w:numPr>
          <w:ilvl w:val="1"/>
          <w:numId w:val="4"/>
        </w:numPr>
        <w:spacing w:before="156" w:beforeLines="50" w:after="156" w:afterLines="50"/>
        <w:ind w:left="0" w:firstLine="0" w:firstLineChars="0"/>
        <w:rPr>
          <w:rFonts w:eastAsia="黑体"/>
          <w:szCs w:val="22"/>
        </w:rPr>
      </w:pPr>
    </w:p>
    <w:p>
      <w:pPr>
        <w:pStyle w:val="34"/>
        <w:spacing w:line="360" w:lineRule="auto"/>
        <w:rPr>
          <w:rFonts w:eastAsia="黑体"/>
          <w:szCs w:val="22"/>
        </w:rPr>
      </w:pPr>
      <w:r>
        <w:rPr>
          <w:rFonts w:hint="eastAsia" w:eastAsia="黑体"/>
          <w:szCs w:val="22"/>
        </w:rPr>
        <w:t>医疗放射性废物medical radioactive waste</w:t>
      </w:r>
    </w:p>
    <w:p>
      <w:pPr>
        <w:widowControl/>
        <w:ind w:firstLine="420" w:firstLineChars="200"/>
        <w:jc w:val="left"/>
        <w:rPr>
          <w:kern w:val="0"/>
          <w:szCs w:val="21"/>
          <w:lang w:bidi="ar"/>
        </w:rPr>
      </w:pPr>
      <w:r>
        <w:rPr>
          <w:rFonts w:hint="eastAsia"/>
          <w:kern w:val="0"/>
          <w:szCs w:val="21"/>
          <w:lang w:bidi="ar"/>
        </w:rPr>
        <w:t>在核医学活动中产生的含有放射性核素或被放射性核素污染的气态、液态和固态废物。</w:t>
      </w:r>
    </w:p>
    <w:p>
      <w:pPr>
        <w:widowControl/>
        <w:ind w:firstLine="420" w:firstLineChars="200"/>
        <w:jc w:val="left"/>
        <w:rPr>
          <w:kern w:val="0"/>
          <w:szCs w:val="21"/>
          <w:lang w:bidi="ar"/>
        </w:rPr>
      </w:pPr>
      <w:r>
        <w:rPr>
          <w:rFonts w:hint="eastAsia"/>
          <w:szCs w:val="22"/>
        </w:rPr>
        <w:t>[来源：</w:t>
      </w:r>
      <w:r>
        <w:t>HJ 1188</w:t>
      </w:r>
      <w:r>
        <w:rPr>
          <w:rFonts w:hint="eastAsia"/>
        </w:rPr>
        <w:t>—</w:t>
      </w:r>
      <w:r>
        <w:t>2021</w:t>
      </w:r>
      <w:r>
        <w:rPr>
          <w:rFonts w:hint="eastAsia"/>
          <w:szCs w:val="22"/>
        </w:rPr>
        <w:t>, 3.3]</w:t>
      </w:r>
    </w:p>
    <w:p>
      <w:pPr>
        <w:widowControl/>
        <w:ind w:firstLine="420" w:firstLineChars="200"/>
        <w:jc w:val="left"/>
        <w:rPr>
          <w:kern w:val="0"/>
          <w:szCs w:val="21"/>
          <w:lang w:bidi="ar"/>
        </w:rPr>
      </w:pPr>
      <w:r>
        <w:rPr>
          <w:rFonts w:hint="eastAsia"/>
          <w:kern w:val="0"/>
          <w:szCs w:val="21"/>
          <w:lang w:bidi="ar"/>
        </w:rPr>
        <w:t>本标准指含</w:t>
      </w:r>
      <w:r>
        <w:rPr>
          <w:rFonts w:hint="eastAsia"/>
          <w:kern w:val="0"/>
          <w:szCs w:val="21"/>
          <w:vertAlign w:val="baseline"/>
          <w:lang w:eastAsia="zh-CN" w:bidi="ar"/>
        </w:rPr>
        <w:t>钇-90</w:t>
      </w:r>
      <w:r>
        <w:rPr>
          <w:rFonts w:hint="eastAsia"/>
          <w:kern w:val="0"/>
          <w:szCs w:val="21"/>
          <w:vertAlign w:val="baseline"/>
          <w:lang w:bidi="ar"/>
        </w:rPr>
        <w:t>的</w:t>
      </w:r>
      <w:r>
        <w:rPr>
          <w:rFonts w:hint="eastAsia"/>
          <w:kern w:val="0"/>
          <w:szCs w:val="21"/>
          <w:lang w:bidi="ar"/>
        </w:rPr>
        <w:t>放射性固态或液态医疗废弃物</w:t>
      </w:r>
      <w:r>
        <w:rPr>
          <w:kern w:val="0"/>
          <w:szCs w:val="21"/>
          <w:lang w:bidi="ar"/>
        </w:rPr>
        <w:t>。</w:t>
      </w:r>
    </w:p>
    <w:p>
      <w:pPr>
        <w:pStyle w:val="34"/>
        <w:numPr>
          <w:ilvl w:val="0"/>
          <w:numId w:val="4"/>
        </w:numPr>
        <w:spacing w:before="312" w:beforeLines="100" w:after="312" w:afterLines="100"/>
        <w:ind w:firstLineChars="0"/>
        <w:outlineLvl w:val="0"/>
        <w:rPr>
          <w:rFonts w:ascii="Arial" w:hAnsi="Arial" w:cs="Arial"/>
          <w:color w:val="000000"/>
          <w:szCs w:val="21"/>
        </w:rPr>
      </w:pPr>
      <w:bookmarkStart w:id="11" w:name="_Toc96316671"/>
      <w:bookmarkEnd w:id="11"/>
      <w:bookmarkStart w:id="12" w:name="_Toc96309576"/>
      <w:bookmarkEnd w:id="12"/>
      <w:bookmarkStart w:id="13" w:name="_Toc96304158"/>
      <w:bookmarkEnd w:id="13"/>
      <w:bookmarkStart w:id="14" w:name="_Toc96309390"/>
      <w:bookmarkEnd w:id="14"/>
      <w:bookmarkStart w:id="15" w:name="_Toc96309279"/>
      <w:bookmarkEnd w:id="15"/>
      <w:bookmarkStart w:id="16" w:name="_Toc26063"/>
      <w:bookmarkStart w:id="17" w:name="_Toc16878"/>
      <w:bookmarkStart w:id="18" w:name="_Toc96316675"/>
      <w:r>
        <w:rPr>
          <w:rFonts w:hint="eastAsia" w:eastAsia="黑体"/>
          <w:szCs w:val="22"/>
        </w:rPr>
        <w:t>总则</w:t>
      </w:r>
      <w:bookmarkEnd w:id="16"/>
      <w:r>
        <w:rPr>
          <w:rFonts w:ascii="Arial" w:hAnsi="Arial" w:cs="Arial"/>
          <w:color w:val="000000"/>
          <w:szCs w:val="21"/>
        </w:rPr>
        <w:t xml:space="preserve"> </w:t>
      </w:r>
    </w:p>
    <w:p>
      <w:pPr>
        <w:pStyle w:val="34"/>
        <w:numPr>
          <w:ilvl w:val="1"/>
          <w:numId w:val="4"/>
        </w:numPr>
        <w:spacing w:before="156" w:beforeLines="50" w:after="156" w:afterLines="50"/>
        <w:ind w:left="0" w:firstLine="0" w:firstLineChars="0"/>
        <w:outlineLvl w:val="1"/>
        <w:rPr>
          <w:rFonts w:eastAsia="黑体"/>
          <w:szCs w:val="22"/>
        </w:rPr>
      </w:pPr>
      <w:r>
        <w:rPr>
          <w:rFonts w:hint="eastAsia" w:eastAsia="黑体"/>
          <w:szCs w:val="22"/>
        </w:rPr>
        <w:t>一般要求</w:t>
      </w:r>
    </w:p>
    <w:p>
      <w:pPr>
        <w:pStyle w:val="34"/>
        <w:numPr>
          <w:ilvl w:val="2"/>
          <w:numId w:val="4"/>
        </w:numPr>
        <w:ind w:left="0" w:firstLine="0" w:firstLineChars="0"/>
        <w:outlineLvl w:val="2"/>
        <w:rPr>
          <w:kern w:val="0"/>
          <w:szCs w:val="21"/>
          <w:lang w:bidi="ar"/>
        </w:rPr>
      </w:pPr>
      <w:r>
        <w:rPr>
          <w:rFonts w:hint="eastAsia"/>
          <w:kern w:val="0"/>
          <w:szCs w:val="21"/>
          <w:lang w:bidi="ar"/>
        </w:rPr>
        <w:t>医疗机构应对所开展的</w:t>
      </w:r>
      <w:r>
        <w:rPr>
          <w:rFonts w:hint="eastAsia"/>
          <w:kern w:val="0"/>
          <w:szCs w:val="21"/>
          <w:vertAlign w:val="baseline"/>
          <w:lang w:eastAsia="zh-CN" w:bidi="ar"/>
        </w:rPr>
        <w:t>钇-90</w:t>
      </w:r>
      <w:r>
        <w:rPr>
          <w:rFonts w:hint="eastAsia"/>
          <w:kern w:val="0"/>
          <w:szCs w:val="21"/>
          <w:lang w:bidi="ar"/>
        </w:rPr>
        <w:t>微</w:t>
      </w:r>
      <w:r>
        <w:rPr>
          <w:rFonts w:hint="eastAsia"/>
          <w:kern w:val="0"/>
          <w:szCs w:val="21"/>
          <w:lang w:val="en-US" w:eastAsia="zh-CN" w:bidi="ar"/>
        </w:rPr>
        <w:t>临床</w:t>
      </w:r>
      <w:r>
        <w:rPr>
          <w:rFonts w:hint="eastAsia"/>
          <w:kern w:val="0"/>
          <w:szCs w:val="21"/>
          <w:lang w:bidi="ar"/>
        </w:rPr>
        <w:t>球诊疗活动的辐射安全与防护工作负责，实现保护医疗机构辐射工作人员、公众和环境的目标。</w:t>
      </w:r>
    </w:p>
    <w:p>
      <w:pPr>
        <w:pStyle w:val="34"/>
        <w:numPr>
          <w:ilvl w:val="2"/>
          <w:numId w:val="4"/>
        </w:numPr>
        <w:ind w:left="0" w:firstLine="0" w:firstLineChars="0"/>
        <w:outlineLvl w:val="2"/>
        <w:rPr>
          <w:color w:val="auto"/>
          <w:kern w:val="0"/>
          <w:szCs w:val="21"/>
          <w:lang w:bidi="ar"/>
        </w:rPr>
      </w:pPr>
      <w:r>
        <w:rPr>
          <w:rFonts w:hint="eastAsia"/>
          <w:kern w:val="0"/>
          <w:szCs w:val="21"/>
          <w:lang w:bidi="ar"/>
        </w:rPr>
        <w:t>开展或拟申请开展</w:t>
      </w:r>
      <w:r>
        <w:rPr>
          <w:rFonts w:hint="eastAsia"/>
          <w:kern w:val="0"/>
          <w:szCs w:val="21"/>
          <w:vertAlign w:val="baseline"/>
          <w:lang w:eastAsia="zh-CN" w:bidi="ar"/>
        </w:rPr>
        <w:t>钇-90</w:t>
      </w:r>
      <w:r>
        <w:rPr>
          <w:rFonts w:hint="eastAsia"/>
          <w:color w:val="auto"/>
          <w:kern w:val="0"/>
          <w:szCs w:val="21"/>
          <w:lang w:bidi="ar"/>
        </w:rPr>
        <w:t>微球</w:t>
      </w:r>
      <w:bookmarkStart w:id="19" w:name="OLE_LINK16"/>
      <w:r>
        <w:rPr>
          <w:rFonts w:hint="eastAsia"/>
          <w:color w:val="auto"/>
          <w:kern w:val="0"/>
          <w:szCs w:val="21"/>
          <w:lang w:bidi="ar"/>
        </w:rPr>
        <w:t>选择性内照射治疗</w:t>
      </w:r>
      <w:bookmarkEnd w:id="19"/>
      <w:r>
        <w:rPr>
          <w:rFonts w:hint="eastAsia"/>
          <w:color w:val="auto"/>
          <w:kern w:val="0"/>
          <w:szCs w:val="21"/>
          <w:lang w:bidi="ar"/>
        </w:rPr>
        <w:t>的医疗机构，需同时申请核医学及介入放射学等相关项目的辐射安全许可证。对已经获得核医学（含核素显像及核素治疗）和介入放射学诊疗许可的机构，在申</w:t>
      </w:r>
      <w:r>
        <w:rPr>
          <w:rFonts w:hint="eastAsia"/>
          <w:kern w:val="0"/>
          <w:szCs w:val="21"/>
          <w:vertAlign w:val="baseline"/>
          <w:lang w:eastAsia="zh-CN" w:bidi="ar"/>
        </w:rPr>
        <w:t>请钇-90</w:t>
      </w:r>
      <w:r>
        <w:rPr>
          <w:rFonts w:hint="eastAsia"/>
          <w:color w:val="auto"/>
          <w:kern w:val="0"/>
          <w:szCs w:val="21"/>
          <w:lang w:bidi="ar"/>
        </w:rPr>
        <w:t>微球放射治疗项目时，可借助核医学科和介入放射科原有的功能用房和辅助用房等来开展</w:t>
      </w:r>
      <w:r>
        <w:rPr>
          <w:rFonts w:hint="eastAsia"/>
          <w:color w:val="auto"/>
          <w:kern w:val="0"/>
          <w:szCs w:val="21"/>
          <w:lang w:eastAsia="zh-CN" w:bidi="ar"/>
        </w:rPr>
        <w:t>，</w:t>
      </w:r>
      <w:r>
        <w:rPr>
          <w:rFonts w:hint="eastAsia"/>
          <w:color w:val="auto"/>
          <w:kern w:val="0"/>
          <w:szCs w:val="21"/>
          <w:lang w:bidi="ar"/>
        </w:rPr>
        <w:t>相应场所</w:t>
      </w:r>
      <w:bookmarkStart w:id="20" w:name="OLE_LINK7"/>
      <w:r>
        <w:rPr>
          <w:rFonts w:hint="eastAsia"/>
          <w:color w:val="auto"/>
          <w:kern w:val="0"/>
          <w:szCs w:val="21"/>
          <w:lang w:bidi="ar"/>
        </w:rPr>
        <w:t>应需满足</w:t>
      </w:r>
      <w:r>
        <w:rPr>
          <w:rFonts w:hint="eastAsia"/>
          <w:kern w:val="0"/>
          <w:szCs w:val="21"/>
          <w:vertAlign w:val="baseline"/>
          <w:lang w:eastAsia="zh-CN" w:bidi="ar"/>
        </w:rPr>
        <w:t>钇-90</w:t>
      </w:r>
      <w:r>
        <w:rPr>
          <w:rFonts w:hint="eastAsia"/>
          <w:color w:val="auto"/>
          <w:kern w:val="0"/>
          <w:szCs w:val="21"/>
          <w:lang w:bidi="ar"/>
        </w:rPr>
        <w:t>微球选择性内照射治疗辐射防护条件并取得辐射安全许可证。</w:t>
      </w:r>
      <w:bookmarkEnd w:id="20"/>
    </w:p>
    <w:p>
      <w:pPr>
        <w:pStyle w:val="34"/>
        <w:numPr>
          <w:ilvl w:val="2"/>
          <w:numId w:val="4"/>
        </w:numPr>
        <w:ind w:left="0" w:firstLine="0" w:firstLineChars="0"/>
        <w:outlineLvl w:val="2"/>
        <w:rPr>
          <w:kern w:val="0"/>
          <w:szCs w:val="21"/>
          <w:lang w:bidi="ar"/>
        </w:rPr>
      </w:pPr>
      <w:r>
        <w:rPr>
          <w:rFonts w:hint="eastAsia"/>
          <w:kern w:val="0"/>
          <w:szCs w:val="21"/>
          <w:lang w:bidi="ar"/>
        </w:rPr>
        <w:t>使用</w:t>
      </w:r>
      <w:r>
        <w:rPr>
          <w:rFonts w:hint="eastAsia"/>
          <w:kern w:val="0"/>
          <w:szCs w:val="21"/>
          <w:vertAlign w:val="baseline"/>
          <w:lang w:eastAsia="zh-CN" w:bidi="ar"/>
        </w:rPr>
        <w:t>钇-90微</w:t>
      </w:r>
      <w:r>
        <w:rPr>
          <w:rFonts w:hint="eastAsia"/>
          <w:kern w:val="0"/>
          <w:szCs w:val="21"/>
          <w:lang w:bidi="ar"/>
        </w:rPr>
        <w:t>球开</w:t>
      </w:r>
      <w:r>
        <w:rPr>
          <w:rFonts w:hint="eastAsia"/>
          <w:kern w:val="0"/>
          <w:szCs w:val="21"/>
          <w:vertAlign w:val="baseline"/>
          <w:lang w:eastAsia="zh-CN" w:bidi="ar"/>
        </w:rPr>
        <w:t>展</w:t>
      </w:r>
      <w:r>
        <w:rPr>
          <w:rFonts w:hint="eastAsia"/>
          <w:color w:val="auto"/>
          <w:kern w:val="0"/>
          <w:szCs w:val="21"/>
          <w:lang w:bidi="ar"/>
        </w:rPr>
        <w:t>选择性内照射治疗</w:t>
      </w:r>
      <w:r>
        <w:rPr>
          <w:rFonts w:hint="eastAsia"/>
          <w:kern w:val="0"/>
          <w:szCs w:val="21"/>
          <w:vertAlign w:val="baseline"/>
          <w:lang w:eastAsia="zh-CN" w:bidi="ar"/>
        </w:rPr>
        <w:t>的工作场所除满足核医学工作场所的选址要求外，核医学工作场所（含核素治疗病房）和钇-90微球临</w:t>
      </w:r>
      <w:r>
        <w:rPr>
          <w:rFonts w:hint="eastAsia"/>
          <w:kern w:val="0"/>
          <w:szCs w:val="21"/>
          <w:lang w:bidi="ar"/>
        </w:rPr>
        <w:t>床介入工作场所应紧邻或集中设置，且不宜毗邻产科、儿科、食堂等部门及人员密集区。</w:t>
      </w:r>
    </w:p>
    <w:p>
      <w:pPr>
        <w:pStyle w:val="34"/>
        <w:numPr>
          <w:ilvl w:val="2"/>
          <w:numId w:val="4"/>
        </w:numPr>
        <w:ind w:left="0" w:firstLine="0" w:firstLineChars="0"/>
        <w:outlineLvl w:val="2"/>
        <w:rPr>
          <w:kern w:val="0"/>
          <w:szCs w:val="21"/>
          <w:lang w:bidi="ar"/>
        </w:rPr>
      </w:pPr>
      <w:r>
        <w:rPr>
          <w:kern w:val="0"/>
          <w:szCs w:val="21"/>
          <w:lang w:bidi="ar"/>
        </w:rPr>
        <w:t>医疗机构应按照HJ 11</w:t>
      </w:r>
      <w:r>
        <w:rPr>
          <w:rFonts w:hint="eastAsia"/>
          <w:kern w:val="0"/>
          <w:szCs w:val="21"/>
          <w:vertAlign w:val="baseline"/>
          <w:lang w:eastAsia="zh-CN" w:bidi="ar"/>
        </w:rPr>
        <w:t>88规定对</w:t>
      </w:r>
      <w:bookmarkStart w:id="21" w:name="OLE_LINK8"/>
      <w:r>
        <w:rPr>
          <w:rFonts w:hint="eastAsia"/>
          <w:kern w:val="0"/>
          <w:szCs w:val="21"/>
          <w:vertAlign w:val="baseline"/>
          <w:lang w:eastAsia="zh-CN" w:bidi="ar"/>
        </w:rPr>
        <w:t>钇-90微球临床诊疗活动</w:t>
      </w:r>
      <w:bookmarkEnd w:id="21"/>
      <w:r>
        <w:rPr>
          <w:rFonts w:hint="eastAsia"/>
          <w:kern w:val="0"/>
          <w:szCs w:val="21"/>
          <w:vertAlign w:val="baseline"/>
          <w:lang w:eastAsia="zh-CN" w:bidi="ar"/>
        </w:rPr>
        <w:t>进行正当性判断，确保实践正当性；应在钇-90微球临床诊疗活动场所规划、设计、建设及改造中遵守辐射防护最优化原则；应使钇-90微球临床诊疗活动涉及的相关个人受照剂量大小、受照射人数及受到照射的</w:t>
      </w:r>
      <w:r>
        <w:rPr>
          <w:kern w:val="0"/>
          <w:szCs w:val="21"/>
          <w:lang w:bidi="ar"/>
        </w:rPr>
        <w:t>可能性保持在可合理达到的尽可能低的水平。</w:t>
      </w:r>
    </w:p>
    <w:p>
      <w:pPr>
        <w:pStyle w:val="34"/>
        <w:numPr>
          <w:ilvl w:val="2"/>
          <w:numId w:val="4"/>
        </w:numPr>
        <w:ind w:left="0" w:firstLine="0" w:firstLineChars="0"/>
        <w:outlineLvl w:val="2"/>
        <w:rPr>
          <w:rFonts w:hint="eastAsia"/>
          <w:kern w:val="0"/>
          <w:szCs w:val="21"/>
          <w:vertAlign w:val="baseline"/>
          <w:lang w:eastAsia="zh-CN" w:bidi="ar"/>
        </w:rPr>
      </w:pPr>
      <w:r>
        <w:rPr>
          <w:kern w:val="0"/>
          <w:szCs w:val="21"/>
          <w:lang w:bidi="ar"/>
        </w:rPr>
        <w:t>医疗机</w:t>
      </w:r>
      <w:r>
        <w:rPr>
          <w:rFonts w:hint="eastAsia"/>
          <w:kern w:val="0"/>
          <w:szCs w:val="21"/>
          <w:vertAlign w:val="baseline"/>
          <w:lang w:eastAsia="zh-CN" w:bidi="ar"/>
        </w:rPr>
        <w:t>构应对钇-90微球工作场所实行分级、分区管理；规划好人流、物流路径；妥善收集、暂存与处理含钇-90的放射性废物。</w:t>
      </w:r>
    </w:p>
    <w:p>
      <w:pPr>
        <w:pStyle w:val="34"/>
        <w:numPr>
          <w:ilvl w:val="2"/>
          <w:numId w:val="4"/>
        </w:numPr>
        <w:ind w:left="0" w:firstLine="0" w:firstLineChars="0"/>
        <w:outlineLvl w:val="2"/>
        <w:rPr>
          <w:color w:val="auto"/>
          <w:kern w:val="0"/>
          <w:szCs w:val="21"/>
          <w:lang w:bidi="ar"/>
        </w:rPr>
      </w:pPr>
      <w:r>
        <w:rPr>
          <w:rFonts w:hint="eastAsia"/>
          <w:kern w:val="0"/>
          <w:szCs w:val="21"/>
          <w:vertAlign w:val="baseline"/>
          <w:lang w:eastAsia="zh-CN" w:bidi="ar"/>
        </w:rPr>
        <w:t>钇-90微球及其临床诊疗活动过程中产生的放射性废物的管理，应符合HJ 1188规定，应及时登记建档，建立出入库账目，确保账物相符。登记内容包括生产单位、到货日期、核素种类、理化性质、微球总活度和容器表面放射性污染擦拭</w:t>
      </w:r>
      <w:r>
        <w:rPr>
          <w:rFonts w:hint="eastAsia"/>
          <w:kern w:val="0"/>
          <w:szCs w:val="21"/>
          <w:vertAlign w:val="baseline"/>
          <w:lang w:val="en-US" w:eastAsia="zh-CN" w:bidi="ar"/>
        </w:rPr>
        <w:t>监</w:t>
      </w:r>
      <w:r>
        <w:rPr>
          <w:rFonts w:hint="eastAsia"/>
          <w:kern w:val="0"/>
          <w:szCs w:val="21"/>
          <w:vertAlign w:val="baseline"/>
          <w:lang w:eastAsia="zh-CN" w:bidi="ar"/>
        </w:rPr>
        <w:t>测结果等</w:t>
      </w:r>
      <w:r>
        <w:rPr>
          <w:color w:val="auto"/>
          <w:kern w:val="0"/>
          <w:szCs w:val="21"/>
          <w:lang w:bidi="ar"/>
        </w:rPr>
        <w:t>。</w:t>
      </w:r>
    </w:p>
    <w:p>
      <w:pPr>
        <w:pStyle w:val="34"/>
        <w:numPr>
          <w:ilvl w:val="2"/>
          <w:numId w:val="4"/>
        </w:numPr>
        <w:ind w:left="0" w:firstLine="0" w:firstLineChars="0"/>
        <w:outlineLvl w:val="2"/>
        <w:rPr>
          <w:color w:val="auto"/>
          <w:kern w:val="0"/>
          <w:szCs w:val="21"/>
          <w:lang w:bidi="ar"/>
        </w:rPr>
      </w:pPr>
      <w:bookmarkStart w:id="22" w:name="OLE_LINK11"/>
      <w:r>
        <w:rPr>
          <w:rFonts w:hint="eastAsia"/>
          <w:kern w:val="0"/>
          <w:szCs w:val="21"/>
          <w:lang w:bidi="ar"/>
        </w:rPr>
        <w:t>开展钇-90</w:t>
      </w:r>
      <w:bookmarkStart w:id="23" w:name="_Hlk194671979"/>
      <w:r>
        <w:rPr>
          <w:rFonts w:hint="eastAsia"/>
          <w:kern w:val="0"/>
          <w:szCs w:val="21"/>
          <w:lang w:bidi="ar"/>
        </w:rPr>
        <w:t>微球选择性内照射治疗活动的</w:t>
      </w:r>
      <w:bookmarkEnd w:id="23"/>
      <w:r>
        <w:rPr>
          <w:rFonts w:hint="default"/>
          <w:color w:val="auto"/>
          <w:kern w:val="0"/>
          <w:szCs w:val="21"/>
          <w:lang w:bidi="ar"/>
        </w:rPr>
        <w:t>剂量约束值（包括但不限于</w:t>
      </w:r>
      <w:r>
        <w:rPr>
          <w:rFonts w:hint="eastAsia"/>
          <w:color w:val="auto"/>
          <w:kern w:val="0"/>
          <w:szCs w:val="21"/>
          <w:vertAlign w:val="baseline"/>
          <w:lang w:eastAsia="zh-CN" w:bidi="ar"/>
        </w:rPr>
        <w:t>钇-90</w:t>
      </w:r>
      <w:r>
        <w:rPr>
          <w:rFonts w:hint="default"/>
          <w:color w:val="auto"/>
          <w:kern w:val="0"/>
          <w:szCs w:val="21"/>
          <w:lang w:bidi="ar"/>
        </w:rPr>
        <w:t>）应符合HJ 1188规定：一般情况下，职业照射的剂量约束值不超过 5 mSv/a；公众照射的剂量约束值不超过 0.1 mSv/a。</w:t>
      </w:r>
      <w:bookmarkEnd w:id="22"/>
    </w:p>
    <w:p>
      <w:pPr>
        <w:pStyle w:val="34"/>
        <w:numPr>
          <w:ilvl w:val="1"/>
          <w:numId w:val="4"/>
        </w:numPr>
        <w:spacing w:before="156" w:beforeLines="50" w:after="156" w:afterLines="50"/>
        <w:ind w:left="0" w:firstLine="0" w:firstLineChars="0"/>
        <w:outlineLvl w:val="1"/>
        <w:rPr>
          <w:rFonts w:eastAsia="黑体"/>
          <w:szCs w:val="22"/>
        </w:rPr>
      </w:pPr>
      <w:r>
        <w:rPr>
          <w:rFonts w:hint="eastAsia" w:eastAsia="黑体"/>
          <w:szCs w:val="22"/>
        </w:rPr>
        <w:t>辐射工作场所分级</w:t>
      </w:r>
    </w:p>
    <w:p>
      <w:pPr>
        <w:pStyle w:val="34"/>
        <w:numPr>
          <w:ilvl w:val="2"/>
          <w:numId w:val="4"/>
        </w:numPr>
        <w:ind w:left="0" w:firstLine="0" w:firstLineChars="0"/>
        <w:outlineLvl w:val="2"/>
        <w:rPr>
          <w:kern w:val="0"/>
          <w:szCs w:val="21"/>
          <w:lang w:bidi="ar"/>
        </w:rPr>
      </w:pPr>
      <w:r>
        <w:rPr>
          <w:rFonts w:hint="eastAsia"/>
          <w:kern w:val="0"/>
          <w:szCs w:val="21"/>
          <w:lang w:bidi="ar"/>
        </w:rPr>
        <w:t>场所按照</w:t>
      </w:r>
      <w:r>
        <w:rPr>
          <w:kern w:val="0"/>
          <w:szCs w:val="21"/>
          <w:lang w:bidi="ar"/>
        </w:rPr>
        <w:t>GB 18871规定</w:t>
      </w:r>
      <w:r>
        <w:rPr>
          <w:rFonts w:hint="eastAsia"/>
          <w:kern w:val="0"/>
          <w:szCs w:val="21"/>
          <w:lang w:bidi="ar"/>
        </w:rPr>
        <w:t>进行</w:t>
      </w:r>
      <w:r>
        <w:rPr>
          <w:kern w:val="0"/>
          <w:szCs w:val="21"/>
          <w:lang w:bidi="ar"/>
        </w:rPr>
        <w:t>分级</w:t>
      </w:r>
      <w:r>
        <w:rPr>
          <w:rFonts w:hint="eastAsia"/>
          <w:kern w:val="0"/>
          <w:szCs w:val="21"/>
          <w:lang w:bidi="ar"/>
        </w:rPr>
        <w:t>管理</w:t>
      </w:r>
      <w:bookmarkStart w:id="24" w:name="OLE_LINK10"/>
      <w:r>
        <w:rPr>
          <w:kern w:val="0"/>
          <w:szCs w:val="21"/>
          <w:lang w:bidi="ar"/>
        </w:rPr>
        <w:t>。</w:t>
      </w:r>
      <w:bookmarkEnd w:id="24"/>
    </w:p>
    <w:p>
      <w:pPr>
        <w:pStyle w:val="34"/>
        <w:numPr>
          <w:ilvl w:val="2"/>
          <w:numId w:val="4"/>
        </w:numPr>
        <w:ind w:left="0" w:firstLine="0" w:firstLineChars="0"/>
        <w:outlineLvl w:val="2"/>
        <w:rPr>
          <w:rFonts w:hint="eastAsia"/>
          <w:kern w:val="0"/>
          <w:szCs w:val="21"/>
          <w:vertAlign w:val="baseline"/>
          <w:lang w:eastAsia="zh-CN" w:bidi="ar"/>
        </w:rPr>
      </w:pPr>
      <w:r>
        <w:rPr>
          <w:rFonts w:hint="eastAsia"/>
          <w:kern w:val="0"/>
          <w:szCs w:val="21"/>
          <w:vertAlign w:val="baseline"/>
          <w:lang w:eastAsia="zh-CN" w:bidi="ar"/>
        </w:rPr>
        <w:t>钇-90为中毒性放射性核素，毒性组别修正因子为0.1。钇-90微球临床诊疗过程中的分装与注射操作属于很简单操作，操作方式与放射源状态修正因子为10。</w:t>
      </w:r>
    </w:p>
    <w:p>
      <w:pPr>
        <w:pStyle w:val="34"/>
        <w:numPr>
          <w:ilvl w:val="1"/>
          <w:numId w:val="4"/>
        </w:numPr>
        <w:spacing w:before="156" w:beforeLines="50" w:after="156" w:afterLines="50"/>
        <w:ind w:left="0" w:firstLine="0" w:firstLineChars="0"/>
        <w:outlineLvl w:val="1"/>
        <w:rPr>
          <w:rFonts w:eastAsia="黑体"/>
          <w:szCs w:val="22"/>
        </w:rPr>
      </w:pPr>
      <w:bookmarkStart w:id="25" w:name="_Toc184893912"/>
      <w:bookmarkStart w:id="26" w:name="_Toc184466021"/>
      <w:r>
        <w:rPr>
          <w:rFonts w:eastAsia="黑体"/>
          <w:szCs w:val="22"/>
        </w:rPr>
        <w:t>辐射工作场所分区</w:t>
      </w:r>
      <w:bookmarkEnd w:id="25"/>
      <w:bookmarkEnd w:id="26"/>
    </w:p>
    <w:p>
      <w:pPr>
        <w:pStyle w:val="34"/>
        <w:numPr>
          <w:ilvl w:val="2"/>
          <w:numId w:val="4"/>
        </w:numPr>
        <w:ind w:left="0" w:firstLine="0" w:firstLineChars="0"/>
        <w:outlineLvl w:val="2"/>
        <w:rPr>
          <w:rFonts w:hint="eastAsia"/>
          <w:kern w:val="0"/>
          <w:szCs w:val="21"/>
          <w:vertAlign w:val="baseline"/>
          <w:lang w:eastAsia="zh-CN" w:bidi="ar"/>
        </w:rPr>
      </w:pPr>
      <w:r>
        <w:rPr>
          <w:rFonts w:hint="eastAsia"/>
          <w:kern w:val="0"/>
          <w:szCs w:val="21"/>
          <w:vertAlign w:val="baseline"/>
          <w:lang w:eastAsia="zh-CN" w:bidi="ar"/>
        </w:rPr>
        <w:t>根据</w:t>
      </w:r>
      <w:bookmarkStart w:id="27" w:name="OLE_LINK17"/>
      <w:r>
        <w:rPr>
          <w:rFonts w:hint="eastAsia"/>
          <w:kern w:val="0"/>
          <w:szCs w:val="21"/>
          <w:vertAlign w:val="baseline"/>
          <w:lang w:eastAsia="zh-CN" w:bidi="ar"/>
        </w:rPr>
        <w:t>钇-90微球临床诊疗活动</w:t>
      </w:r>
      <w:bookmarkEnd w:id="27"/>
      <w:r>
        <w:rPr>
          <w:rFonts w:hint="eastAsia"/>
          <w:kern w:val="0"/>
          <w:szCs w:val="21"/>
          <w:vertAlign w:val="baseline"/>
          <w:lang w:eastAsia="zh-CN" w:bidi="ar"/>
        </w:rPr>
        <w:t>需要将工作场所划分为控制区和监督区进行管理；分区</w:t>
      </w:r>
      <w:r>
        <w:rPr>
          <w:rFonts w:hint="eastAsia"/>
          <w:kern w:val="0"/>
          <w:szCs w:val="21"/>
          <w:vertAlign w:val="baseline"/>
          <w:lang w:val="en-US" w:eastAsia="zh-CN" w:bidi="ar"/>
        </w:rPr>
        <w:t>原则</w:t>
      </w:r>
      <w:r>
        <w:rPr>
          <w:rFonts w:hint="eastAsia"/>
          <w:kern w:val="0"/>
          <w:szCs w:val="21"/>
          <w:vertAlign w:val="baseline"/>
          <w:lang w:eastAsia="zh-CN" w:bidi="ar"/>
        </w:rPr>
        <w:t>应符合HJ 1188规定的要求。</w:t>
      </w:r>
    </w:p>
    <w:p>
      <w:pPr>
        <w:pStyle w:val="34"/>
        <w:numPr>
          <w:ilvl w:val="2"/>
          <w:numId w:val="4"/>
        </w:numPr>
        <w:ind w:left="0" w:firstLine="0" w:firstLineChars="0"/>
        <w:outlineLvl w:val="2"/>
        <w:rPr>
          <w:rFonts w:hint="eastAsia"/>
          <w:kern w:val="0"/>
          <w:szCs w:val="21"/>
          <w:vertAlign w:val="baseline"/>
          <w:lang w:eastAsia="zh-CN" w:bidi="ar"/>
        </w:rPr>
      </w:pPr>
      <w:r>
        <w:rPr>
          <w:rFonts w:hint="eastAsia"/>
          <w:kern w:val="0"/>
          <w:szCs w:val="21"/>
          <w:vertAlign w:val="baseline"/>
          <w:lang w:eastAsia="zh-CN" w:bidi="ar"/>
        </w:rPr>
        <w:t>钇-90微球临床诊疗活动工作场所控制区主要包括钇-90微球储存室、活度测量与分装室、DSA介入手术室、核素显像室、钇-90微球病房及钇-90医疗放射性废物暂存区等区域。</w:t>
      </w:r>
      <w:bookmarkStart w:id="28" w:name="OLE_LINK9"/>
      <w:r>
        <w:rPr>
          <w:rFonts w:hint="eastAsia"/>
          <w:kern w:val="0"/>
          <w:szCs w:val="21"/>
          <w:vertAlign w:val="baseline"/>
          <w:lang w:eastAsia="zh-CN" w:bidi="ar"/>
        </w:rPr>
        <w:t>进行钇-90微球输注的DSA介入手术室按照非密封工作场所管理。原有DSA介入手术室新增钇-90微球输注操作时，按照钇-90增加后的等效日操作量确定工作场所等级，并履行相关手续。</w:t>
      </w:r>
      <w:bookmarkEnd w:id="28"/>
    </w:p>
    <w:p>
      <w:pPr>
        <w:pStyle w:val="34"/>
        <w:numPr>
          <w:ilvl w:val="2"/>
          <w:numId w:val="4"/>
        </w:numPr>
        <w:ind w:left="0" w:firstLine="0" w:firstLineChars="0"/>
        <w:outlineLvl w:val="2"/>
        <w:rPr>
          <w:rFonts w:hint="eastAsia"/>
          <w:kern w:val="0"/>
          <w:szCs w:val="21"/>
          <w:vertAlign w:val="baseline"/>
          <w:lang w:eastAsia="zh-CN" w:bidi="ar"/>
        </w:rPr>
      </w:pPr>
      <w:r>
        <w:rPr>
          <w:rFonts w:hint="eastAsia"/>
          <w:kern w:val="0"/>
          <w:szCs w:val="21"/>
          <w:vertAlign w:val="baseline"/>
          <w:lang w:eastAsia="zh-CN" w:bidi="ar"/>
        </w:rPr>
        <w:t>钇-90微球临床诊疗活动工作场所监督区主要包括核医学显像设备控制室、卫生通过间以及与控制区相连的其他场所或区域。</w:t>
      </w:r>
    </w:p>
    <w:p>
      <w:pPr>
        <w:pStyle w:val="34"/>
        <w:numPr>
          <w:ilvl w:val="1"/>
          <w:numId w:val="4"/>
        </w:numPr>
        <w:spacing w:before="156" w:beforeLines="50" w:after="156" w:afterLines="50"/>
        <w:ind w:left="0" w:firstLine="0" w:firstLineChars="0"/>
        <w:outlineLvl w:val="1"/>
        <w:rPr>
          <w:rFonts w:eastAsia="黑体"/>
          <w:szCs w:val="22"/>
        </w:rPr>
      </w:pPr>
      <w:r>
        <w:rPr>
          <w:rFonts w:hint="eastAsia" w:eastAsia="黑体"/>
          <w:szCs w:val="22"/>
        </w:rPr>
        <w:t>表面污染控制水平</w:t>
      </w:r>
    </w:p>
    <w:p>
      <w:pPr>
        <w:pStyle w:val="34"/>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ind w:left="0" w:firstLine="420" w:firstLineChars="200"/>
        <w:textAlignment w:val="auto"/>
        <w:outlineLvl w:val="1"/>
        <w:rPr>
          <w:kern w:val="0"/>
          <w:szCs w:val="21"/>
          <w:lang w:bidi="ar"/>
        </w:rPr>
      </w:pPr>
      <w:r>
        <w:rPr>
          <w:rFonts w:hint="eastAsia"/>
          <w:kern w:val="0"/>
          <w:szCs w:val="21"/>
          <w:vertAlign w:val="baseline"/>
          <w:lang w:eastAsia="zh-CN" w:bidi="ar"/>
        </w:rPr>
        <w:t>钇-90微球临床诊疗活动</w:t>
      </w:r>
      <w:r>
        <w:rPr>
          <w:rFonts w:hint="eastAsia"/>
          <w:color w:val="auto"/>
          <w:kern w:val="0"/>
          <w:szCs w:val="21"/>
          <w:lang w:val="en-US" w:eastAsia="zh-CN" w:bidi="ar"/>
        </w:rPr>
        <w:t>的</w:t>
      </w:r>
      <w:r>
        <w:rPr>
          <w:rFonts w:hint="eastAsia"/>
          <w:color w:val="auto"/>
          <w:kern w:val="0"/>
          <w:szCs w:val="21"/>
          <w:lang w:bidi="ar"/>
        </w:rPr>
        <w:t>表面污染控</w:t>
      </w:r>
      <w:r>
        <w:rPr>
          <w:rFonts w:hint="eastAsia"/>
          <w:kern w:val="0"/>
          <w:szCs w:val="21"/>
          <w:lang w:bidi="ar"/>
        </w:rPr>
        <w:t>制水平按照GB 18871执行（见附录</w:t>
      </w:r>
      <w:r>
        <w:rPr>
          <w:kern w:val="0"/>
          <w:szCs w:val="21"/>
          <w:lang w:bidi="ar"/>
        </w:rPr>
        <w:t>A</w:t>
      </w:r>
      <w:r>
        <w:rPr>
          <w:rFonts w:hint="eastAsia"/>
          <w:kern w:val="0"/>
          <w:szCs w:val="21"/>
          <w:lang w:bidi="ar"/>
        </w:rPr>
        <w:t>）。</w:t>
      </w:r>
    </w:p>
    <w:p>
      <w:pPr>
        <w:pStyle w:val="34"/>
        <w:numPr>
          <w:ilvl w:val="0"/>
          <w:numId w:val="4"/>
        </w:numPr>
        <w:spacing w:before="312" w:beforeLines="100" w:after="312" w:afterLines="100"/>
        <w:ind w:firstLineChars="0"/>
        <w:outlineLvl w:val="0"/>
        <w:rPr>
          <w:rFonts w:eastAsia="黑体"/>
          <w:szCs w:val="22"/>
        </w:rPr>
      </w:pPr>
      <w:bookmarkStart w:id="29" w:name="_Toc21051"/>
      <w:r>
        <w:rPr>
          <w:rFonts w:hint="eastAsia" w:eastAsia="黑体"/>
          <w:szCs w:val="22"/>
        </w:rPr>
        <w:t>工作场所要求</w:t>
      </w:r>
      <w:bookmarkEnd w:id="29"/>
    </w:p>
    <w:p>
      <w:pPr>
        <w:pStyle w:val="34"/>
        <w:numPr>
          <w:ilvl w:val="1"/>
          <w:numId w:val="4"/>
        </w:numPr>
        <w:spacing w:before="156" w:beforeLines="50" w:after="156" w:afterLines="50"/>
        <w:ind w:left="0" w:firstLine="0" w:firstLineChars="0"/>
        <w:outlineLvl w:val="1"/>
        <w:rPr>
          <w:kern w:val="0"/>
          <w:szCs w:val="21"/>
          <w:lang w:bidi="ar"/>
        </w:rPr>
      </w:pPr>
      <w:r>
        <w:rPr>
          <w:rFonts w:hint="eastAsia" w:eastAsia="黑体"/>
          <w:szCs w:val="22"/>
        </w:rPr>
        <w:t>贮存、分装及核素显像工作场所要求</w:t>
      </w:r>
    </w:p>
    <w:p>
      <w:pPr>
        <w:pStyle w:val="34"/>
        <w:numPr>
          <w:ilvl w:val="2"/>
          <w:numId w:val="4"/>
        </w:numPr>
        <w:ind w:left="0" w:firstLine="0" w:firstLineChars="0"/>
        <w:outlineLvl w:val="2"/>
        <w:rPr>
          <w:kern w:val="0"/>
          <w:szCs w:val="21"/>
          <w:lang w:bidi="ar"/>
        </w:rPr>
      </w:pPr>
      <w:r>
        <w:rPr>
          <w:rFonts w:hint="eastAsia"/>
          <w:kern w:val="0"/>
          <w:szCs w:val="21"/>
          <w:lang w:bidi="ar"/>
        </w:rPr>
        <w:t>贮存、分装工作场所的通风要求应符合HJ 1188规定。</w:t>
      </w:r>
    </w:p>
    <w:p>
      <w:pPr>
        <w:pStyle w:val="34"/>
        <w:numPr>
          <w:ilvl w:val="2"/>
          <w:numId w:val="4"/>
        </w:numPr>
        <w:ind w:left="0" w:firstLine="0" w:firstLineChars="0"/>
        <w:outlineLvl w:val="2"/>
        <w:rPr>
          <w:kern w:val="0"/>
          <w:szCs w:val="21"/>
          <w:lang w:bidi="ar"/>
        </w:rPr>
      </w:pPr>
      <w:r>
        <w:rPr>
          <w:rFonts w:hint="eastAsia"/>
          <w:kern w:val="0"/>
          <w:szCs w:val="21"/>
          <w:vertAlign w:val="baseline"/>
          <w:lang w:eastAsia="zh-CN" w:bidi="ar"/>
        </w:rPr>
        <w:t>钇-90微球临床诊疗活动</w:t>
      </w:r>
      <w:r>
        <w:rPr>
          <w:rFonts w:hint="eastAsia"/>
          <w:kern w:val="0"/>
          <w:szCs w:val="21"/>
          <w:lang w:bidi="ar"/>
        </w:rPr>
        <w:t>工作场所（含放射性废物储藏室）的地面、台面及安全措施应符合HJ 1188的要求。</w:t>
      </w:r>
    </w:p>
    <w:p>
      <w:pPr>
        <w:pStyle w:val="34"/>
        <w:numPr>
          <w:ilvl w:val="2"/>
          <w:numId w:val="4"/>
        </w:numPr>
        <w:ind w:left="0" w:firstLine="0" w:firstLineChars="0"/>
        <w:outlineLvl w:val="2"/>
        <w:rPr>
          <w:kern w:val="0"/>
          <w:szCs w:val="21"/>
          <w:vertAlign w:val="baseline"/>
          <w:lang w:bidi="ar"/>
        </w:rPr>
      </w:pPr>
      <w:r>
        <w:rPr>
          <w:rFonts w:hint="eastAsia"/>
          <w:kern w:val="0"/>
          <w:szCs w:val="21"/>
          <w:vertAlign w:val="baseline"/>
          <w:lang w:bidi="ar"/>
        </w:rPr>
        <w:t>应有</w:t>
      </w:r>
      <w:r>
        <w:rPr>
          <w:rFonts w:hint="eastAsia"/>
          <w:kern w:val="0"/>
          <w:szCs w:val="21"/>
          <w:vertAlign w:val="baseline"/>
          <w:lang w:eastAsia="zh-CN" w:bidi="ar"/>
        </w:rPr>
        <w:t>钇-90</w:t>
      </w:r>
      <w:r>
        <w:rPr>
          <w:rFonts w:hint="eastAsia"/>
          <w:kern w:val="0"/>
          <w:szCs w:val="21"/>
          <w:vertAlign w:val="baseline"/>
          <w:lang w:bidi="ar"/>
        </w:rPr>
        <w:t>微球介入治疗</w:t>
      </w:r>
      <w:r>
        <w:rPr>
          <w:rFonts w:hint="eastAsia"/>
          <w:kern w:val="0"/>
          <w:szCs w:val="21"/>
          <w:lang w:bidi="ar"/>
        </w:rPr>
        <w:t>后验证治疗效果</w:t>
      </w:r>
      <w:r>
        <w:rPr>
          <w:rFonts w:hint="eastAsia"/>
          <w:kern w:val="0"/>
          <w:szCs w:val="21"/>
          <w:vertAlign w:val="baseline"/>
          <w:lang w:bidi="ar"/>
        </w:rPr>
        <w:t>所需的核素显像装备</w:t>
      </w:r>
      <w:r>
        <w:rPr>
          <w:rFonts w:hint="eastAsia"/>
          <w:kern w:val="0"/>
          <w:szCs w:val="21"/>
          <w:lang w:bidi="ar"/>
        </w:rPr>
        <w:t>（PET/CT或SPECT/CT）</w:t>
      </w:r>
      <w:r>
        <w:rPr>
          <w:rFonts w:hint="eastAsia"/>
          <w:kern w:val="0"/>
          <w:szCs w:val="21"/>
          <w:vertAlign w:val="baseline"/>
          <w:lang w:bidi="ar"/>
        </w:rPr>
        <w:t>，显像机房外门框上方应设置工作状态指示灯，核素显像过程中宜独立安排显像时间，以减少与其他患者的接触。</w:t>
      </w:r>
    </w:p>
    <w:p>
      <w:pPr>
        <w:pStyle w:val="34"/>
        <w:numPr>
          <w:ilvl w:val="2"/>
          <w:numId w:val="4"/>
        </w:numPr>
        <w:ind w:left="0" w:firstLine="0" w:firstLineChars="0"/>
        <w:outlineLvl w:val="2"/>
        <w:rPr>
          <w:kern w:val="0"/>
          <w:szCs w:val="21"/>
          <w:lang w:bidi="ar"/>
        </w:rPr>
      </w:pPr>
      <w:r>
        <w:rPr>
          <w:rFonts w:hint="eastAsia"/>
          <w:kern w:val="0"/>
          <w:szCs w:val="21"/>
          <w:vertAlign w:val="baseline"/>
          <w:lang w:eastAsia="zh-CN" w:bidi="ar"/>
        </w:rPr>
        <w:t>钇-90微球临床诊疗活动</w:t>
      </w:r>
      <w:r>
        <w:rPr>
          <w:rFonts w:hint="eastAsia"/>
          <w:kern w:val="0"/>
          <w:szCs w:val="21"/>
          <w:lang w:bidi="ar"/>
        </w:rPr>
        <w:t>工作场所应配备必需的辐射防护用品，以满足</w:t>
      </w:r>
      <w:r>
        <w:rPr>
          <w:rFonts w:hint="eastAsia"/>
          <w:kern w:val="0"/>
          <w:szCs w:val="21"/>
          <w:vertAlign w:val="baseline"/>
          <w:lang w:eastAsia="zh-CN" w:bidi="ar"/>
        </w:rPr>
        <w:t>钇-90</w:t>
      </w:r>
      <w:r>
        <w:rPr>
          <w:rFonts w:hint="eastAsia"/>
          <w:kern w:val="0"/>
          <w:szCs w:val="21"/>
          <w:lang w:bidi="ar"/>
        </w:rPr>
        <w:t>微球（含其放射性废物）贮存、操作、转运要求，</w:t>
      </w:r>
      <w:r>
        <w:rPr>
          <w:rFonts w:hint="eastAsia"/>
          <w:kern w:val="0"/>
          <w:szCs w:val="21"/>
          <w:vertAlign w:val="baseline"/>
          <w:lang w:bidi="ar"/>
        </w:rPr>
        <w:t>应有处理</w:t>
      </w:r>
      <w:r>
        <w:rPr>
          <w:rFonts w:hint="eastAsia"/>
          <w:kern w:val="0"/>
          <w:szCs w:val="21"/>
          <w:vertAlign w:val="baseline"/>
          <w:lang w:eastAsia="zh-CN" w:bidi="ar"/>
        </w:rPr>
        <w:t>钇-90</w:t>
      </w:r>
      <w:r>
        <w:rPr>
          <w:rFonts w:hint="eastAsia"/>
          <w:kern w:val="0"/>
          <w:szCs w:val="21"/>
          <w:vertAlign w:val="baseline"/>
          <w:lang w:bidi="ar"/>
        </w:rPr>
        <w:t>微</w:t>
      </w:r>
      <w:r>
        <w:rPr>
          <w:rFonts w:hint="eastAsia"/>
          <w:kern w:val="0"/>
          <w:szCs w:val="21"/>
          <w:lang w:bidi="ar"/>
        </w:rPr>
        <w:t>球泄露造成放射性污染的防护用品及措施，其出口应配有表面污染监测仪器。</w:t>
      </w:r>
    </w:p>
    <w:p>
      <w:pPr>
        <w:pStyle w:val="34"/>
        <w:numPr>
          <w:ilvl w:val="2"/>
          <w:numId w:val="4"/>
        </w:numPr>
        <w:ind w:left="0" w:firstLine="0" w:firstLineChars="0"/>
        <w:outlineLvl w:val="2"/>
        <w:rPr>
          <w:kern w:val="0"/>
          <w:szCs w:val="21"/>
          <w:lang w:bidi="ar"/>
        </w:rPr>
      </w:pPr>
      <w:r>
        <w:rPr>
          <w:rFonts w:hint="eastAsia"/>
          <w:kern w:val="0"/>
          <w:szCs w:val="21"/>
          <w:lang w:bidi="ar"/>
        </w:rPr>
        <w:t>开展</w:t>
      </w:r>
      <w:r>
        <w:rPr>
          <w:rFonts w:hint="eastAsia"/>
          <w:kern w:val="0"/>
          <w:szCs w:val="21"/>
          <w:vertAlign w:val="baseline"/>
          <w:lang w:eastAsia="zh-CN" w:bidi="ar"/>
        </w:rPr>
        <w:t>钇-90微球临床诊疗活动</w:t>
      </w:r>
      <w:r>
        <w:rPr>
          <w:rFonts w:hint="eastAsia"/>
          <w:kern w:val="0"/>
          <w:szCs w:val="21"/>
          <w:lang w:bidi="ar"/>
        </w:rPr>
        <w:t>工作场所</w:t>
      </w:r>
      <w:r>
        <w:rPr>
          <w:rFonts w:hint="eastAsia"/>
          <w:kern w:val="0"/>
          <w:szCs w:val="21"/>
          <w:lang w:val="en-US" w:eastAsia="zh-CN" w:bidi="ar"/>
        </w:rPr>
        <w:t>的</w:t>
      </w:r>
      <w:r>
        <w:rPr>
          <w:rFonts w:hint="eastAsia"/>
          <w:kern w:val="0"/>
          <w:szCs w:val="21"/>
          <w:lang w:bidi="ar"/>
        </w:rPr>
        <w:t>屏蔽设计应根据可能使用的</w:t>
      </w:r>
      <w:r>
        <w:rPr>
          <w:rFonts w:hint="eastAsia"/>
          <w:kern w:val="0"/>
          <w:szCs w:val="21"/>
          <w:lang w:eastAsia="zh-CN" w:bidi="ar"/>
        </w:rPr>
        <w:t>钇-90</w:t>
      </w:r>
      <w:r>
        <w:rPr>
          <w:rFonts w:hint="eastAsia"/>
          <w:kern w:val="0"/>
          <w:szCs w:val="21"/>
          <w:lang w:bidi="ar"/>
        </w:rPr>
        <w:t>放射性最大活度、β射线及轫致辐射进行屏蔽计算，除</w:t>
      </w:r>
      <w:r>
        <w:rPr>
          <w:rFonts w:hint="eastAsia"/>
          <w:kern w:val="0"/>
          <w:szCs w:val="21"/>
          <w:lang w:eastAsia="zh-CN" w:bidi="ar"/>
        </w:rPr>
        <w:t>钇-90</w:t>
      </w:r>
      <w:r>
        <w:rPr>
          <w:rFonts w:hint="eastAsia"/>
          <w:kern w:val="0"/>
          <w:szCs w:val="21"/>
          <w:lang w:bidi="ar"/>
        </w:rPr>
        <w:t>微球的辐射源项外还要考虑相邻区域存在的其他辐射源的影响。</w:t>
      </w:r>
    </w:p>
    <w:p>
      <w:pPr>
        <w:pStyle w:val="34"/>
        <w:numPr>
          <w:ilvl w:val="1"/>
          <w:numId w:val="4"/>
        </w:numPr>
        <w:spacing w:before="156" w:beforeLines="50" w:after="156" w:afterLines="50"/>
        <w:ind w:left="0" w:firstLine="0" w:firstLineChars="0"/>
        <w:outlineLvl w:val="1"/>
        <w:rPr>
          <w:kern w:val="0"/>
          <w:szCs w:val="21"/>
          <w:lang w:bidi="ar"/>
        </w:rPr>
      </w:pPr>
      <w:r>
        <w:rPr>
          <w:rFonts w:hint="eastAsia" w:eastAsia="黑体"/>
          <w:szCs w:val="22"/>
        </w:rPr>
        <w:t>介入工作场所要求</w:t>
      </w:r>
    </w:p>
    <w:p>
      <w:pPr>
        <w:pStyle w:val="34"/>
        <w:numPr>
          <w:ilvl w:val="2"/>
          <w:numId w:val="4"/>
        </w:numPr>
        <w:ind w:left="0" w:firstLine="0" w:firstLineChars="0"/>
        <w:outlineLvl w:val="2"/>
        <w:rPr>
          <w:kern w:val="0"/>
          <w:szCs w:val="21"/>
          <w:lang w:bidi="ar"/>
        </w:rPr>
      </w:pPr>
      <w:r>
        <w:rPr>
          <w:rFonts w:hint="eastAsia"/>
          <w:kern w:val="0"/>
          <w:szCs w:val="21"/>
          <w:vertAlign w:val="baseline"/>
          <w:lang w:eastAsia="zh-CN" w:bidi="ar"/>
        </w:rPr>
        <w:t>钇-90</w:t>
      </w:r>
      <w:r>
        <w:rPr>
          <w:rFonts w:hint="eastAsia"/>
          <w:kern w:val="0"/>
          <w:szCs w:val="21"/>
          <w:vertAlign w:val="baseline"/>
          <w:lang w:bidi="ar"/>
        </w:rPr>
        <w:t>微球介入工作场</w:t>
      </w:r>
      <w:r>
        <w:rPr>
          <w:rFonts w:hint="eastAsia"/>
          <w:kern w:val="0"/>
          <w:szCs w:val="21"/>
          <w:lang w:bidi="ar"/>
        </w:rPr>
        <w:t>所应符合介入手术室的布局要求。</w:t>
      </w:r>
    </w:p>
    <w:p>
      <w:pPr>
        <w:pStyle w:val="34"/>
        <w:numPr>
          <w:ilvl w:val="2"/>
          <w:numId w:val="4"/>
        </w:numPr>
        <w:ind w:left="0" w:firstLine="0" w:firstLineChars="0"/>
        <w:outlineLvl w:val="2"/>
        <w:rPr>
          <w:kern w:val="0"/>
          <w:szCs w:val="21"/>
          <w:lang w:bidi="ar"/>
        </w:rPr>
      </w:pPr>
      <w:r>
        <w:rPr>
          <w:rFonts w:hint="eastAsia"/>
          <w:kern w:val="0"/>
          <w:szCs w:val="21"/>
          <w:lang w:bidi="ar"/>
        </w:rPr>
        <w:t>X射线介入设备机房屏蔽体外的辐射剂量水平应满足GBZ 130的要求。</w:t>
      </w:r>
    </w:p>
    <w:p>
      <w:pPr>
        <w:pStyle w:val="34"/>
        <w:numPr>
          <w:ilvl w:val="0"/>
          <w:numId w:val="4"/>
        </w:numPr>
        <w:spacing w:before="312" w:beforeLines="100" w:after="312" w:afterLines="100"/>
        <w:ind w:firstLineChars="0"/>
        <w:outlineLvl w:val="0"/>
        <w:rPr>
          <w:kern w:val="0"/>
          <w:szCs w:val="21"/>
          <w:lang w:bidi="ar"/>
        </w:rPr>
      </w:pPr>
      <w:bookmarkStart w:id="30" w:name="_Toc2895"/>
      <w:bookmarkStart w:id="31" w:name="_Hlk190184290"/>
      <w:r>
        <w:rPr>
          <w:rFonts w:hint="eastAsia" w:eastAsia="黑体"/>
          <w:szCs w:val="22"/>
        </w:rPr>
        <w:t>操作中的辐射安全与放射防护</w:t>
      </w:r>
      <w:bookmarkEnd w:id="30"/>
    </w:p>
    <w:bookmarkEnd w:id="31"/>
    <w:p>
      <w:pPr>
        <w:pStyle w:val="34"/>
        <w:numPr>
          <w:ilvl w:val="1"/>
          <w:numId w:val="4"/>
        </w:numPr>
        <w:spacing w:before="156" w:beforeLines="50" w:after="156" w:afterLines="50"/>
        <w:ind w:left="0" w:firstLine="0" w:firstLineChars="0"/>
        <w:outlineLvl w:val="1"/>
        <w:rPr>
          <w:rFonts w:eastAsia="黑体"/>
          <w:szCs w:val="22"/>
        </w:rPr>
      </w:pPr>
      <w:bookmarkStart w:id="32" w:name="_Hlk190184352"/>
      <w:r>
        <w:rPr>
          <w:rFonts w:hint="eastAsia" w:eastAsia="黑体"/>
          <w:szCs w:val="22"/>
        </w:rPr>
        <w:t>贮存、分装过程中的辐射安全与放射防护</w:t>
      </w:r>
    </w:p>
    <w:bookmarkEnd w:id="32"/>
    <w:p>
      <w:pPr>
        <w:pStyle w:val="34"/>
        <w:numPr>
          <w:ilvl w:val="2"/>
          <w:numId w:val="4"/>
        </w:numPr>
        <w:ind w:left="0" w:firstLine="0" w:firstLineChars="0"/>
        <w:outlineLvl w:val="2"/>
        <w:rPr>
          <w:kern w:val="0"/>
          <w:szCs w:val="21"/>
          <w:lang w:bidi="ar"/>
        </w:rPr>
      </w:pPr>
      <w:r>
        <w:rPr>
          <w:rFonts w:hint="eastAsia"/>
          <w:kern w:val="0"/>
          <w:szCs w:val="21"/>
          <w:vertAlign w:val="baseline"/>
          <w:lang w:eastAsia="zh-CN" w:bidi="ar"/>
        </w:rPr>
        <w:t>钇-90</w:t>
      </w:r>
      <w:r>
        <w:rPr>
          <w:rFonts w:hint="eastAsia"/>
          <w:kern w:val="0"/>
          <w:szCs w:val="21"/>
          <w:vertAlign w:val="baseline"/>
          <w:lang w:bidi="ar"/>
        </w:rPr>
        <w:t>微球的贮存、分装、活</w:t>
      </w:r>
      <w:r>
        <w:rPr>
          <w:rFonts w:hint="eastAsia"/>
          <w:kern w:val="0"/>
          <w:szCs w:val="21"/>
          <w:lang w:bidi="ar"/>
        </w:rPr>
        <w:t>度测量、放射性废物的处理及其相关活动应</w:t>
      </w:r>
      <w:r>
        <w:rPr>
          <w:rFonts w:hint="eastAsia"/>
          <w:kern w:val="0"/>
          <w:szCs w:val="21"/>
          <w:lang w:val="en-US" w:eastAsia="zh-CN" w:bidi="ar"/>
        </w:rPr>
        <w:t>在</w:t>
      </w:r>
      <w:r>
        <w:rPr>
          <w:rFonts w:hint="eastAsia"/>
          <w:kern w:val="0"/>
          <w:szCs w:val="21"/>
          <w:lang w:bidi="ar"/>
        </w:rPr>
        <w:t>核医学工作场所</w:t>
      </w:r>
      <w:r>
        <w:rPr>
          <w:rFonts w:hint="eastAsia"/>
          <w:kern w:val="0"/>
          <w:szCs w:val="21"/>
          <w:lang w:val="en-US" w:eastAsia="zh-CN" w:bidi="ar"/>
        </w:rPr>
        <w:t>的</w:t>
      </w:r>
      <w:r>
        <w:rPr>
          <w:rFonts w:hint="eastAsia"/>
          <w:kern w:val="0"/>
          <w:szCs w:val="21"/>
          <w:lang w:bidi="ar"/>
        </w:rPr>
        <w:t>控制区</w:t>
      </w:r>
      <w:r>
        <w:rPr>
          <w:rFonts w:hint="eastAsia"/>
          <w:kern w:val="0"/>
          <w:szCs w:val="21"/>
          <w:lang w:val="en-US" w:eastAsia="zh-CN" w:bidi="ar"/>
        </w:rPr>
        <w:t>内</w:t>
      </w:r>
      <w:r>
        <w:rPr>
          <w:rFonts w:hint="eastAsia"/>
          <w:kern w:val="0"/>
          <w:szCs w:val="21"/>
          <w:lang w:bidi="ar"/>
        </w:rPr>
        <w:t>进行，</w:t>
      </w:r>
      <w:r>
        <w:rPr>
          <w:rFonts w:hint="eastAsia"/>
          <w:kern w:val="0"/>
          <w:szCs w:val="21"/>
          <w:vertAlign w:val="baseline"/>
          <w:lang w:eastAsia="zh-CN" w:bidi="ar"/>
        </w:rPr>
        <w:t>控制区防护门</w:t>
      </w:r>
      <w:r>
        <w:rPr>
          <w:rFonts w:hint="eastAsia"/>
          <w:kern w:val="0"/>
          <w:szCs w:val="21"/>
          <w:lang w:bidi="ar"/>
        </w:rPr>
        <w:t xml:space="preserve">、观察窗与墙壁外表面30 cm处的周围剂量当量率应小于2.5 </w:t>
      </w:r>
      <w:r>
        <w:rPr>
          <w:kern w:val="0"/>
          <w:szCs w:val="21"/>
          <w:lang w:bidi="ar"/>
        </w:rPr>
        <w:t>μSv/h</w:t>
      </w:r>
      <w:r>
        <w:rPr>
          <w:rFonts w:hint="eastAsia"/>
          <w:kern w:val="0"/>
          <w:szCs w:val="21"/>
          <w:lang w:bidi="ar"/>
        </w:rPr>
        <w:t xml:space="preserve">，如屏蔽墙外房间为人员偶尔居留的设备间等区域，其周围剂量当量率应小于10 </w:t>
      </w:r>
      <w:r>
        <w:rPr>
          <w:kern w:val="0"/>
          <w:szCs w:val="21"/>
          <w:lang w:bidi="ar"/>
        </w:rPr>
        <w:t>μSv/h</w:t>
      </w:r>
      <w:r>
        <w:rPr>
          <w:rFonts w:hint="eastAsia"/>
          <w:kern w:val="0"/>
          <w:szCs w:val="21"/>
          <w:lang w:bidi="ar"/>
        </w:rPr>
        <w:t>。</w:t>
      </w:r>
    </w:p>
    <w:p>
      <w:pPr>
        <w:pStyle w:val="34"/>
        <w:numPr>
          <w:ilvl w:val="2"/>
          <w:numId w:val="4"/>
        </w:numPr>
        <w:ind w:left="0" w:firstLine="0" w:firstLineChars="0"/>
        <w:outlineLvl w:val="2"/>
        <w:rPr>
          <w:rFonts w:hint="default" w:ascii="Times New Roman" w:hAnsi="Times New Roman" w:cs="Times New Roman"/>
          <w:kern w:val="0"/>
          <w:szCs w:val="21"/>
          <w:lang w:bidi="ar"/>
        </w:rPr>
      </w:pPr>
      <w:r>
        <w:rPr>
          <w:rFonts w:hint="eastAsia"/>
          <w:kern w:val="0"/>
          <w:szCs w:val="21"/>
          <w:vertAlign w:val="baseline"/>
          <w:lang w:eastAsia="zh-CN" w:bidi="ar"/>
        </w:rPr>
        <w:t>钇-90微球</w:t>
      </w:r>
      <w:r>
        <w:rPr>
          <w:rFonts w:hint="eastAsia"/>
          <w:kern w:val="0"/>
          <w:szCs w:val="21"/>
          <w:lang w:bidi="ar"/>
        </w:rPr>
        <w:t>的操作</w:t>
      </w:r>
      <w:r>
        <w:rPr>
          <w:rFonts w:hint="default" w:ascii="Times New Roman" w:hAnsi="Times New Roman" w:cs="Times New Roman"/>
          <w:kern w:val="0"/>
          <w:szCs w:val="21"/>
          <w:lang w:bidi="ar"/>
        </w:rPr>
        <w:t>应按照β射线的屏蔽原则进行，利用有机玻璃和铅屏蔽进行防护。分装</w:t>
      </w:r>
      <w:r>
        <w:rPr>
          <w:rFonts w:hint="default" w:ascii="Times New Roman" w:hAnsi="Times New Roman" w:cs="Times New Roman"/>
          <w:kern w:val="0"/>
          <w:szCs w:val="21"/>
          <w:vertAlign w:val="baseline"/>
          <w:lang w:eastAsia="zh-CN" w:bidi="ar"/>
        </w:rPr>
        <w:t>钇-90微</w:t>
      </w:r>
      <w:r>
        <w:rPr>
          <w:rFonts w:hint="default" w:ascii="Times New Roman" w:hAnsi="Times New Roman" w:cs="Times New Roman"/>
          <w:kern w:val="0"/>
          <w:szCs w:val="21"/>
          <w:lang w:bidi="ar"/>
        </w:rPr>
        <w:t>球应在手套箱内操作，以保</w:t>
      </w:r>
      <w:r>
        <w:rPr>
          <w:rFonts w:hint="default" w:ascii="Times New Roman" w:hAnsi="Times New Roman" w:cs="Times New Roman"/>
          <w:kern w:val="0"/>
          <w:szCs w:val="21"/>
          <w:vertAlign w:val="baseline"/>
          <w:lang w:eastAsia="zh-CN" w:bidi="ar"/>
        </w:rPr>
        <w:t>证钇-90分装</w:t>
      </w:r>
      <w:r>
        <w:rPr>
          <w:rFonts w:hint="default" w:ascii="Times New Roman" w:hAnsi="Times New Roman" w:cs="Times New Roman"/>
          <w:kern w:val="0"/>
          <w:szCs w:val="21"/>
          <w:lang w:bidi="ar"/>
        </w:rPr>
        <w:t>、注射及转运箱体等设备外表面 30 cm处人员操作位的周围剂量当量率小于2.5 μSv/h，非正对人员操作位表面的周围剂量当量率小于25 μSv/h。</w:t>
      </w:r>
    </w:p>
    <w:p>
      <w:pPr>
        <w:pStyle w:val="34"/>
        <w:numPr>
          <w:ilvl w:val="2"/>
          <w:numId w:val="4"/>
        </w:numPr>
        <w:ind w:left="0" w:firstLine="0" w:firstLineChars="0"/>
        <w:outlineLvl w:val="2"/>
        <w:rPr>
          <w:rFonts w:hint="default" w:ascii="Times New Roman" w:hAnsi="Times New Roman" w:cs="Times New Roman"/>
          <w:kern w:val="0"/>
          <w:szCs w:val="21"/>
          <w:vertAlign w:val="baseline"/>
          <w:lang w:eastAsia="zh-CN" w:bidi="ar"/>
        </w:rPr>
      </w:pPr>
      <w:r>
        <w:rPr>
          <w:rFonts w:hint="default" w:ascii="Times New Roman" w:hAnsi="Times New Roman" w:cs="Times New Roman"/>
          <w:kern w:val="0"/>
          <w:szCs w:val="21"/>
          <w:lang w:bidi="ar"/>
        </w:rPr>
        <w:t>为减</w:t>
      </w:r>
      <w:r>
        <w:rPr>
          <w:rFonts w:hint="default" w:ascii="Times New Roman" w:hAnsi="Times New Roman" w:cs="Times New Roman"/>
          <w:kern w:val="0"/>
          <w:szCs w:val="21"/>
          <w:vertAlign w:val="baseline"/>
          <w:lang w:eastAsia="zh-CN" w:bidi="ar"/>
        </w:rPr>
        <w:t>少钇-90微球操作中</w:t>
      </w:r>
      <w:r>
        <w:rPr>
          <w:rFonts w:hint="default" w:ascii="Times New Roman" w:hAnsi="Times New Roman" w:cs="Times New Roman"/>
          <w:kern w:val="0"/>
          <w:szCs w:val="21"/>
          <w:lang w:bidi="ar"/>
        </w:rPr>
        <w:t>的放射性污染，</w:t>
      </w:r>
      <w:r>
        <w:rPr>
          <w:rFonts w:hint="default" w:ascii="Times New Roman" w:hAnsi="Times New Roman" w:cs="Times New Roman"/>
          <w:kern w:val="0"/>
          <w:szCs w:val="21"/>
          <w:vertAlign w:val="baseline"/>
          <w:lang w:eastAsia="zh-CN" w:bidi="ar"/>
        </w:rPr>
        <w:t>钇-90微球分装宜</w:t>
      </w:r>
      <w:r>
        <w:rPr>
          <w:rFonts w:hint="default" w:ascii="Times New Roman" w:hAnsi="Times New Roman" w:cs="Times New Roman"/>
          <w:kern w:val="0"/>
          <w:szCs w:val="21"/>
          <w:lang w:bidi="ar"/>
        </w:rPr>
        <w:t>使用带有螺纹口鲁尔锁注射器、加长注射针头及排气针</w:t>
      </w:r>
      <w:r>
        <w:rPr>
          <w:rFonts w:hint="default" w:ascii="Times New Roman" w:hAnsi="Times New Roman" w:cs="Times New Roman"/>
          <w:kern w:val="0"/>
          <w:szCs w:val="21"/>
          <w:vertAlign w:val="baseline"/>
          <w:lang w:eastAsia="zh-CN" w:bidi="ar"/>
        </w:rPr>
        <w:t>头，钇-90微球注射器外用有机玻璃防护罩屏蔽；宜配备带有有机玻璃防护罩的V形真空安瓿瓶。</w:t>
      </w:r>
    </w:p>
    <w:p>
      <w:pPr>
        <w:pStyle w:val="34"/>
        <w:numPr>
          <w:ilvl w:val="2"/>
          <w:numId w:val="4"/>
        </w:numPr>
        <w:ind w:left="0" w:firstLine="0" w:firstLineChars="0"/>
        <w:outlineLvl w:val="2"/>
        <w:rPr>
          <w:rFonts w:hint="default" w:ascii="Times New Roman" w:hAnsi="Times New Roman" w:cs="Times New Roman"/>
          <w:kern w:val="0"/>
          <w:szCs w:val="21"/>
          <w:lang w:bidi="ar"/>
        </w:rPr>
      </w:pPr>
      <w:r>
        <w:rPr>
          <w:rFonts w:hint="default" w:ascii="Times New Roman" w:hAnsi="Times New Roman" w:cs="Times New Roman"/>
          <w:kern w:val="0"/>
          <w:szCs w:val="21"/>
          <w:lang w:val="en-US" w:eastAsia="zh-CN" w:bidi="ar"/>
        </w:rPr>
        <w:t>含</w:t>
      </w:r>
      <w:r>
        <w:rPr>
          <w:rFonts w:hint="default" w:ascii="Times New Roman" w:hAnsi="Times New Roman" w:cs="Times New Roman"/>
          <w:kern w:val="0"/>
          <w:szCs w:val="21"/>
          <w:vertAlign w:val="baseline"/>
          <w:lang w:eastAsia="zh-CN" w:bidi="ar"/>
        </w:rPr>
        <w:t>钇-90</w:t>
      </w:r>
      <w:r>
        <w:rPr>
          <w:rFonts w:hint="default" w:ascii="Times New Roman" w:hAnsi="Times New Roman" w:cs="Times New Roman"/>
          <w:kern w:val="0"/>
          <w:szCs w:val="21"/>
          <w:vertAlign w:val="baseline"/>
          <w:lang w:val="en-US" w:eastAsia="zh-CN" w:bidi="ar"/>
        </w:rPr>
        <w:t>的固体</w:t>
      </w:r>
      <w:r>
        <w:rPr>
          <w:rFonts w:hint="default" w:ascii="Times New Roman" w:hAnsi="Times New Roman" w:cs="Times New Roman"/>
          <w:kern w:val="0"/>
          <w:szCs w:val="21"/>
          <w:vertAlign w:val="baseline"/>
          <w:lang w:eastAsia="zh-CN" w:bidi="ar"/>
        </w:rPr>
        <w:t>废物收集桶、暴露于地面含钇-90放射性废液</w:t>
      </w:r>
      <w:r>
        <w:rPr>
          <w:rFonts w:hint="default" w:ascii="Times New Roman" w:hAnsi="Times New Roman" w:cs="Times New Roman"/>
          <w:kern w:val="0"/>
          <w:szCs w:val="21"/>
          <w:lang w:bidi="ar"/>
        </w:rPr>
        <w:t>收集罐体和管道应增加相应辐射屏蔽措施，以保证其外表面30 cm处的周围剂量当量率可满足HJ 1188要求。</w:t>
      </w:r>
    </w:p>
    <w:p>
      <w:pPr>
        <w:pStyle w:val="34"/>
        <w:numPr>
          <w:ilvl w:val="2"/>
          <w:numId w:val="4"/>
        </w:numPr>
        <w:ind w:left="0" w:firstLine="0" w:firstLineChars="0"/>
        <w:outlineLvl w:val="2"/>
        <w:rPr>
          <w:rFonts w:hint="default" w:ascii="Times New Roman" w:hAnsi="Times New Roman" w:cs="Times New Roman"/>
          <w:kern w:val="0"/>
          <w:szCs w:val="21"/>
          <w:lang w:bidi="ar"/>
        </w:rPr>
      </w:pPr>
      <w:r>
        <w:rPr>
          <w:rFonts w:hint="default" w:ascii="Times New Roman" w:hAnsi="Times New Roman" w:cs="Times New Roman"/>
          <w:kern w:val="0"/>
          <w:szCs w:val="21"/>
          <w:vertAlign w:val="baseline"/>
          <w:lang w:eastAsia="zh-CN" w:bidi="ar"/>
        </w:rPr>
        <w:t>钇-90微球分装</w:t>
      </w:r>
      <w:r>
        <w:rPr>
          <w:rFonts w:hint="default" w:ascii="Times New Roman" w:hAnsi="Times New Roman" w:cs="Times New Roman"/>
          <w:kern w:val="0"/>
          <w:szCs w:val="21"/>
          <w:lang w:bidi="ar"/>
        </w:rPr>
        <w:t>后剩余</w:t>
      </w:r>
      <w:r>
        <w:rPr>
          <w:rFonts w:hint="default" w:ascii="Times New Roman" w:hAnsi="Times New Roman" w:cs="Times New Roman"/>
          <w:kern w:val="0"/>
          <w:szCs w:val="21"/>
          <w:lang w:val="en-US" w:eastAsia="zh-CN" w:bidi="ar"/>
        </w:rPr>
        <w:t>药液</w:t>
      </w:r>
      <w:r>
        <w:rPr>
          <w:rFonts w:hint="default" w:ascii="Times New Roman" w:hAnsi="Times New Roman" w:cs="Times New Roman"/>
          <w:kern w:val="0"/>
          <w:szCs w:val="21"/>
          <w:lang w:bidi="ar"/>
        </w:rPr>
        <w:t>应按</w:t>
      </w:r>
      <w:r>
        <w:rPr>
          <w:rFonts w:hint="default" w:ascii="Times New Roman" w:hAnsi="Times New Roman" w:cs="Times New Roman"/>
          <w:kern w:val="0"/>
          <w:szCs w:val="21"/>
          <w:vertAlign w:val="baseline"/>
          <w:lang w:eastAsia="zh-CN" w:bidi="ar"/>
        </w:rPr>
        <w:t>照含钇-90放射性医疗废物处</w:t>
      </w:r>
      <w:r>
        <w:rPr>
          <w:rFonts w:hint="default" w:ascii="Times New Roman" w:hAnsi="Times New Roman" w:cs="Times New Roman"/>
          <w:kern w:val="0"/>
          <w:szCs w:val="21"/>
          <w:lang w:bidi="ar"/>
        </w:rPr>
        <w:t>理流程进行处理。</w:t>
      </w:r>
    </w:p>
    <w:p>
      <w:pPr>
        <w:pStyle w:val="34"/>
        <w:numPr>
          <w:ilvl w:val="1"/>
          <w:numId w:val="4"/>
        </w:numPr>
        <w:spacing w:before="156" w:beforeLines="50" w:after="156" w:afterLines="50"/>
        <w:ind w:left="0" w:firstLine="0" w:firstLineChars="0"/>
        <w:outlineLvl w:val="1"/>
        <w:rPr>
          <w:kern w:val="0"/>
          <w:szCs w:val="21"/>
          <w:lang w:bidi="ar"/>
        </w:rPr>
      </w:pPr>
      <w:bookmarkStart w:id="33" w:name="_Hlk190184376"/>
      <w:r>
        <w:rPr>
          <w:rFonts w:hint="eastAsia" w:eastAsia="黑体"/>
          <w:szCs w:val="22"/>
          <w:lang w:bidi="ar"/>
        </w:rPr>
        <w:t>转运</w:t>
      </w:r>
      <w:bookmarkEnd w:id="33"/>
      <w:r>
        <w:rPr>
          <w:rFonts w:hint="eastAsia" w:eastAsia="黑体"/>
          <w:szCs w:val="22"/>
          <w:lang w:bidi="ar"/>
        </w:rPr>
        <w:t>过程中的辐射安全与防护</w:t>
      </w:r>
    </w:p>
    <w:p>
      <w:pPr>
        <w:pStyle w:val="34"/>
        <w:numPr>
          <w:ilvl w:val="2"/>
          <w:numId w:val="4"/>
        </w:numPr>
        <w:ind w:left="0" w:firstLine="0" w:firstLineChars="0"/>
        <w:rPr>
          <w:rFonts w:hint="eastAsia"/>
          <w:kern w:val="0"/>
          <w:szCs w:val="21"/>
          <w:vertAlign w:val="baseline"/>
          <w:lang w:eastAsia="zh-CN" w:bidi="ar"/>
        </w:rPr>
      </w:pPr>
      <w:r>
        <w:rPr>
          <w:rFonts w:hint="eastAsia"/>
          <w:szCs w:val="22"/>
        </w:rPr>
        <w:t>待使用</w:t>
      </w:r>
      <w:r>
        <w:rPr>
          <w:rFonts w:hint="eastAsia"/>
          <w:kern w:val="0"/>
          <w:szCs w:val="21"/>
          <w:vertAlign w:val="baseline"/>
          <w:lang w:eastAsia="zh-CN" w:bidi="ar"/>
        </w:rPr>
        <w:t>的钇-90微球宜置于带有有机玻璃防护罩的V形瓶内，V形瓶置于带有有机玻璃防护的运输箱内。</w:t>
      </w:r>
    </w:p>
    <w:p>
      <w:pPr>
        <w:pStyle w:val="34"/>
        <w:numPr>
          <w:ilvl w:val="2"/>
          <w:numId w:val="4"/>
        </w:numPr>
        <w:ind w:left="0" w:firstLine="0" w:firstLineChars="0"/>
        <w:outlineLvl w:val="2"/>
        <w:rPr>
          <w:kern w:val="0"/>
          <w:szCs w:val="21"/>
          <w:lang w:bidi="ar"/>
        </w:rPr>
      </w:pPr>
      <w:r>
        <w:rPr>
          <w:rFonts w:hint="eastAsia"/>
          <w:kern w:val="0"/>
          <w:szCs w:val="21"/>
          <w:lang w:bidi="ar"/>
        </w:rPr>
        <w:t>由核</w:t>
      </w:r>
      <w:r>
        <w:rPr>
          <w:rFonts w:hint="eastAsia"/>
          <w:kern w:val="0"/>
          <w:szCs w:val="21"/>
          <w:vertAlign w:val="baseline"/>
          <w:lang w:eastAsia="zh-CN" w:bidi="ar"/>
        </w:rPr>
        <w:t>医学工作场所向介入</w:t>
      </w:r>
      <w:r>
        <w:rPr>
          <w:rFonts w:hint="eastAsia"/>
          <w:kern w:val="0"/>
          <w:szCs w:val="21"/>
          <w:lang w:bidi="ar"/>
        </w:rPr>
        <w:t>工作场所转运锝-</w:t>
      </w:r>
      <w:r>
        <w:rPr>
          <w:kern w:val="0"/>
          <w:szCs w:val="21"/>
          <w:lang w:bidi="ar"/>
        </w:rPr>
        <w:t>99</w:t>
      </w:r>
      <w:r>
        <w:rPr>
          <w:rFonts w:hint="eastAsia"/>
          <w:kern w:val="0"/>
          <w:szCs w:val="21"/>
          <w:lang w:bidi="ar"/>
        </w:rPr>
        <w:t>m聚合人血清白蛋白注射液（</w:t>
      </w:r>
      <w:r>
        <w:rPr>
          <w:rFonts w:hint="eastAsia"/>
          <w:kern w:val="0"/>
          <w:szCs w:val="21"/>
          <w:vertAlign w:val="superscript"/>
          <w:lang w:bidi="ar"/>
        </w:rPr>
        <w:t>99m</w:t>
      </w:r>
      <w:r>
        <w:rPr>
          <w:rFonts w:hint="eastAsia"/>
          <w:kern w:val="0"/>
          <w:szCs w:val="21"/>
          <w:lang w:bidi="ar"/>
        </w:rPr>
        <w:t>Tc-MAA）</w:t>
      </w:r>
      <w:r>
        <w:rPr>
          <w:rFonts w:hint="eastAsia"/>
          <w:kern w:val="0"/>
          <w:szCs w:val="21"/>
          <w:vertAlign w:val="baseline"/>
          <w:lang w:eastAsia="zh-CN" w:bidi="ar"/>
        </w:rPr>
        <w:t>或钇-90微</w:t>
      </w:r>
      <w:r>
        <w:rPr>
          <w:rFonts w:hint="eastAsia"/>
          <w:kern w:val="0"/>
          <w:szCs w:val="21"/>
          <w:lang w:bidi="ar"/>
        </w:rPr>
        <w:t>球时，应全程使用带有屏蔽防护的药物转运车或转运箱。</w:t>
      </w:r>
    </w:p>
    <w:p>
      <w:pPr>
        <w:pStyle w:val="34"/>
        <w:numPr>
          <w:ilvl w:val="2"/>
          <w:numId w:val="4"/>
        </w:numPr>
        <w:ind w:left="0" w:firstLine="0" w:firstLineChars="0"/>
        <w:outlineLvl w:val="2"/>
        <w:rPr>
          <w:kern w:val="0"/>
          <w:szCs w:val="21"/>
          <w:lang w:bidi="ar"/>
        </w:rPr>
      </w:pPr>
      <w:r>
        <w:rPr>
          <w:rFonts w:hint="eastAsia"/>
          <w:kern w:val="0"/>
          <w:szCs w:val="21"/>
          <w:vertAlign w:val="baseline"/>
          <w:lang w:val="en-US" w:eastAsia="zh-CN" w:bidi="ar"/>
        </w:rPr>
        <w:t>接受</w:t>
      </w:r>
      <w:r>
        <w:rPr>
          <w:rFonts w:hint="eastAsia"/>
          <w:kern w:val="0"/>
          <w:szCs w:val="21"/>
          <w:vertAlign w:val="baseline"/>
          <w:lang w:eastAsia="zh-CN" w:bidi="ar"/>
        </w:rPr>
        <w:t>钇-90</w:t>
      </w:r>
      <w:r>
        <w:rPr>
          <w:rFonts w:hint="eastAsia"/>
          <w:kern w:val="0"/>
          <w:szCs w:val="21"/>
          <w:lang w:bidi="ar"/>
        </w:rPr>
        <w:t>微球治疗后</w:t>
      </w:r>
      <w:r>
        <w:rPr>
          <w:rFonts w:hint="eastAsia"/>
          <w:kern w:val="0"/>
          <w:szCs w:val="21"/>
          <w:lang w:val="en-US" w:eastAsia="zh-CN" w:bidi="ar"/>
        </w:rPr>
        <w:t>的</w:t>
      </w:r>
      <w:r>
        <w:rPr>
          <w:rFonts w:hint="eastAsia"/>
          <w:kern w:val="0"/>
          <w:szCs w:val="21"/>
          <w:lang w:bidi="ar"/>
        </w:rPr>
        <w:t>患者转运至病房</w:t>
      </w:r>
      <w:r>
        <w:rPr>
          <w:rFonts w:hint="eastAsia"/>
          <w:kern w:val="0"/>
          <w:szCs w:val="21"/>
          <w:vertAlign w:val="baseline"/>
          <w:lang w:eastAsia="zh-CN" w:bidi="ar"/>
        </w:rPr>
        <w:t>时宜在腹部钇-90微球植入</w:t>
      </w:r>
      <w:r>
        <w:rPr>
          <w:rFonts w:hint="eastAsia"/>
          <w:kern w:val="0"/>
          <w:szCs w:val="21"/>
          <w:lang w:bidi="ar"/>
        </w:rPr>
        <w:t>部位覆盖不小于0.5 mm的铅方巾等屏蔽体，以避免对密切接触人群产生辐射照射。</w:t>
      </w:r>
    </w:p>
    <w:p>
      <w:pPr>
        <w:pStyle w:val="34"/>
        <w:numPr>
          <w:ilvl w:val="2"/>
          <w:numId w:val="4"/>
        </w:numPr>
        <w:ind w:left="0" w:firstLine="0" w:firstLineChars="0"/>
        <w:outlineLvl w:val="2"/>
        <w:rPr>
          <w:kern w:val="0"/>
          <w:szCs w:val="21"/>
          <w:lang w:bidi="ar"/>
        </w:rPr>
      </w:pPr>
      <w:r>
        <w:rPr>
          <w:rFonts w:hint="eastAsia"/>
          <w:kern w:val="0"/>
          <w:szCs w:val="21"/>
          <w:lang w:bidi="ar"/>
        </w:rPr>
        <w:t>可通过设计合适的时间空间交通模式控制</w:t>
      </w:r>
      <w:r>
        <w:rPr>
          <w:rFonts w:hint="eastAsia"/>
          <w:kern w:val="0"/>
          <w:szCs w:val="21"/>
          <w:vertAlign w:val="superscript"/>
          <w:lang w:bidi="ar"/>
        </w:rPr>
        <w:t>99m</w:t>
      </w:r>
      <w:r>
        <w:rPr>
          <w:rFonts w:hint="eastAsia"/>
          <w:kern w:val="0"/>
          <w:szCs w:val="21"/>
          <w:lang w:bidi="ar"/>
        </w:rPr>
        <w:t>Tc-MAA或</w:t>
      </w:r>
      <w:r>
        <w:rPr>
          <w:rFonts w:hint="eastAsia"/>
          <w:kern w:val="0"/>
          <w:szCs w:val="21"/>
          <w:vertAlign w:val="baseline"/>
          <w:lang w:eastAsia="zh-CN" w:bidi="ar"/>
        </w:rPr>
        <w:t>钇-90微</w:t>
      </w:r>
      <w:r>
        <w:rPr>
          <w:rFonts w:hint="eastAsia"/>
          <w:kern w:val="0"/>
          <w:szCs w:val="21"/>
          <w:lang w:bidi="ar"/>
        </w:rPr>
        <w:t>球、及其介入手术后患者的转运活动，以实现</w:t>
      </w:r>
      <w:r>
        <w:rPr>
          <w:rFonts w:hint="eastAsia"/>
          <w:kern w:val="0"/>
          <w:szCs w:val="21"/>
          <w:vertAlign w:val="superscript"/>
          <w:lang w:bidi="ar"/>
        </w:rPr>
        <w:t>99m</w:t>
      </w:r>
      <w:r>
        <w:rPr>
          <w:rFonts w:hint="eastAsia"/>
          <w:kern w:val="0"/>
          <w:szCs w:val="21"/>
          <w:lang w:bidi="ar"/>
        </w:rPr>
        <w:t>Tc-MAA</w:t>
      </w:r>
      <w:r>
        <w:rPr>
          <w:rFonts w:hint="eastAsia"/>
          <w:kern w:val="0"/>
          <w:szCs w:val="21"/>
          <w:vertAlign w:val="baseline"/>
          <w:lang w:eastAsia="zh-CN" w:bidi="ar"/>
        </w:rPr>
        <w:t>或钇-90微</w:t>
      </w:r>
      <w:r>
        <w:rPr>
          <w:rFonts w:hint="eastAsia"/>
          <w:kern w:val="0"/>
          <w:szCs w:val="21"/>
          <w:lang w:bidi="ar"/>
        </w:rPr>
        <w:t xml:space="preserve">球、及其给药后患者与其他人员不交叉。 </w:t>
      </w:r>
    </w:p>
    <w:p>
      <w:pPr>
        <w:pStyle w:val="34"/>
        <w:numPr>
          <w:ilvl w:val="1"/>
          <w:numId w:val="4"/>
        </w:numPr>
        <w:spacing w:before="156" w:beforeLines="50" w:after="156" w:afterLines="50"/>
        <w:ind w:left="0" w:firstLine="0" w:firstLineChars="0"/>
        <w:outlineLvl w:val="1"/>
        <w:rPr>
          <w:rFonts w:eastAsia="黑体"/>
          <w:szCs w:val="22"/>
          <w:lang w:bidi="ar"/>
        </w:rPr>
      </w:pPr>
      <w:r>
        <w:rPr>
          <w:rFonts w:hint="eastAsia" w:eastAsia="黑体"/>
          <w:szCs w:val="22"/>
          <w:lang w:bidi="ar"/>
        </w:rPr>
        <w:t>注射过程中的辐射安全与防护</w:t>
      </w:r>
    </w:p>
    <w:p>
      <w:pPr>
        <w:pStyle w:val="34"/>
        <w:numPr>
          <w:ilvl w:val="2"/>
          <w:numId w:val="4"/>
        </w:numPr>
        <w:ind w:left="0" w:firstLine="0" w:firstLineChars="0"/>
        <w:rPr>
          <w:kern w:val="0"/>
          <w:szCs w:val="21"/>
          <w:lang w:bidi="ar"/>
        </w:rPr>
      </w:pPr>
      <w:r>
        <w:rPr>
          <w:rFonts w:hint="eastAsia"/>
          <w:kern w:val="0"/>
          <w:szCs w:val="21"/>
          <w:vertAlign w:val="baseline"/>
          <w:lang w:eastAsia="zh-CN" w:bidi="ar"/>
        </w:rPr>
        <w:t>钇-90</w:t>
      </w:r>
      <w:r>
        <w:rPr>
          <w:rFonts w:hint="eastAsia"/>
          <w:kern w:val="0"/>
          <w:szCs w:val="21"/>
          <w:lang w:bidi="ar"/>
        </w:rPr>
        <w:t>微球选择性内放射治疗之前，使用</w:t>
      </w:r>
      <w:r>
        <w:rPr>
          <w:rFonts w:hint="eastAsia"/>
          <w:kern w:val="0"/>
          <w:szCs w:val="21"/>
          <w:vertAlign w:val="superscript"/>
          <w:lang w:bidi="ar"/>
        </w:rPr>
        <w:t>99m</w:t>
      </w:r>
      <w:r>
        <w:rPr>
          <w:rFonts w:hint="eastAsia"/>
          <w:kern w:val="0"/>
          <w:szCs w:val="21"/>
          <w:lang w:bidi="ar"/>
        </w:rPr>
        <w:t>Tc-MAA模</w:t>
      </w:r>
      <w:r>
        <w:rPr>
          <w:rFonts w:hint="eastAsia"/>
          <w:kern w:val="0"/>
          <w:szCs w:val="21"/>
          <w:vertAlign w:val="baseline"/>
          <w:lang w:eastAsia="zh-CN" w:bidi="ar"/>
        </w:rPr>
        <w:t>拟钇-90微</w:t>
      </w:r>
      <w:r>
        <w:rPr>
          <w:rFonts w:hint="eastAsia"/>
          <w:kern w:val="0"/>
          <w:szCs w:val="21"/>
          <w:lang w:bidi="ar"/>
        </w:rPr>
        <w:t>球介入治疗的操作，其介入操作的辐射安全与防护应符合相</w:t>
      </w:r>
      <w:r>
        <w:rPr>
          <w:rFonts w:hint="eastAsia"/>
          <w:kern w:val="0"/>
          <w:szCs w:val="21"/>
          <w:vertAlign w:val="baseline"/>
          <w:lang w:eastAsia="zh-CN" w:bidi="ar"/>
        </w:rPr>
        <w:t>关规定。应为钇-90微球介</w:t>
      </w:r>
      <w:r>
        <w:rPr>
          <w:rFonts w:hint="eastAsia"/>
          <w:kern w:val="0"/>
          <w:szCs w:val="21"/>
          <w:lang w:bidi="ar"/>
        </w:rPr>
        <w:t>入工作场所操作人员配备辐射防护用品</w:t>
      </w:r>
      <w:r>
        <w:rPr>
          <w:rFonts w:hint="eastAsia"/>
          <w:kern w:val="0"/>
          <w:szCs w:val="21"/>
          <w:vertAlign w:val="baseline"/>
          <w:lang w:eastAsia="zh-CN" w:bidi="ar"/>
        </w:rPr>
        <w:t>，钇-90微球</w:t>
      </w:r>
      <w:r>
        <w:rPr>
          <w:rFonts w:hint="eastAsia"/>
          <w:kern w:val="0"/>
          <w:szCs w:val="21"/>
          <w:lang w:bidi="ar"/>
        </w:rPr>
        <w:t>给药器应使用有机玻璃类材料屏蔽。</w:t>
      </w:r>
    </w:p>
    <w:p>
      <w:pPr>
        <w:pStyle w:val="34"/>
        <w:numPr>
          <w:ilvl w:val="2"/>
          <w:numId w:val="4"/>
        </w:numPr>
        <w:ind w:left="0" w:firstLine="0" w:firstLineChars="0"/>
        <w:rPr>
          <w:kern w:val="0"/>
          <w:szCs w:val="21"/>
          <w:lang w:bidi="ar"/>
        </w:rPr>
      </w:pPr>
      <w:r>
        <w:rPr>
          <w:rFonts w:hint="eastAsia"/>
          <w:kern w:val="0"/>
          <w:szCs w:val="21"/>
          <w:vertAlign w:val="baseline"/>
          <w:lang w:eastAsia="zh-CN" w:bidi="ar"/>
        </w:rPr>
        <w:t>钇-90微球介入工作场所应</w:t>
      </w:r>
      <w:r>
        <w:rPr>
          <w:rFonts w:hint="eastAsia"/>
          <w:kern w:val="0"/>
          <w:szCs w:val="21"/>
          <w:lang w:bidi="ar"/>
        </w:rPr>
        <w:t>配备辐射监测仪</w:t>
      </w:r>
      <w:r>
        <w:rPr>
          <w:rFonts w:hint="eastAsia"/>
          <w:kern w:val="0"/>
          <w:szCs w:val="21"/>
          <w:vertAlign w:val="baseline"/>
          <w:lang w:eastAsia="zh-CN" w:bidi="ar"/>
        </w:rPr>
        <w:t>，钇-90微球介入手术结束后应</w:t>
      </w:r>
      <w:r>
        <w:rPr>
          <w:rFonts w:hint="eastAsia"/>
          <w:kern w:val="0"/>
          <w:szCs w:val="21"/>
          <w:lang w:bidi="ar"/>
        </w:rPr>
        <w:t>对</w:t>
      </w:r>
      <w:r>
        <w:rPr>
          <w:rFonts w:hint="eastAsia"/>
          <w:kern w:val="0"/>
          <w:szCs w:val="21"/>
          <w:vertAlign w:val="baseline"/>
          <w:lang w:eastAsia="zh-CN" w:bidi="ar"/>
        </w:rPr>
        <w:t>钇-90微</w:t>
      </w:r>
      <w:r>
        <w:rPr>
          <w:rFonts w:hint="eastAsia"/>
          <w:kern w:val="0"/>
          <w:szCs w:val="21"/>
          <w:lang w:bidi="ar"/>
        </w:rPr>
        <w:t>球介入工作场所及手术者进行表面污染监测。</w:t>
      </w:r>
    </w:p>
    <w:p>
      <w:pPr>
        <w:pStyle w:val="34"/>
        <w:numPr>
          <w:ilvl w:val="2"/>
          <w:numId w:val="4"/>
        </w:numPr>
        <w:ind w:left="0" w:firstLine="0" w:firstLineChars="0"/>
        <w:outlineLvl w:val="2"/>
        <w:rPr>
          <w:rFonts w:hint="eastAsia"/>
          <w:kern w:val="0"/>
          <w:szCs w:val="21"/>
          <w:vertAlign w:val="baseline"/>
          <w:lang w:eastAsia="zh-CN" w:bidi="ar"/>
        </w:rPr>
      </w:pPr>
      <w:r>
        <w:rPr>
          <w:rFonts w:hint="eastAsia"/>
          <w:kern w:val="0"/>
          <w:szCs w:val="21"/>
          <w:vertAlign w:val="baseline"/>
          <w:lang w:eastAsia="zh-CN" w:bidi="ar"/>
        </w:rPr>
        <w:t>钇-90微球介入术后应将术中使用的含钇-90微球的V形瓶、钇-90微球介入管路及与介入管路接触存在钇-90污染的一次性敷料、无菌巾或垫单、一次性手套等，收集至含有有机玻璃屏蔽罩的运输箱内，转运至核医学科按放射性废物处理。</w:t>
      </w:r>
    </w:p>
    <w:p>
      <w:pPr>
        <w:pStyle w:val="34"/>
        <w:numPr>
          <w:ilvl w:val="1"/>
          <w:numId w:val="4"/>
        </w:numPr>
        <w:spacing w:before="156" w:beforeLines="50" w:after="156" w:afterLines="50"/>
        <w:ind w:left="0" w:firstLine="0" w:firstLineChars="0"/>
        <w:outlineLvl w:val="1"/>
        <w:rPr>
          <w:rFonts w:eastAsia="黑体"/>
          <w:szCs w:val="22"/>
        </w:rPr>
      </w:pPr>
      <w:r>
        <w:rPr>
          <w:rFonts w:hint="eastAsia" w:eastAsia="黑体"/>
          <w:szCs w:val="22"/>
        </w:rPr>
        <w:t>个人防护用品、去污用品及辅助用品</w:t>
      </w:r>
    </w:p>
    <w:p>
      <w:pPr>
        <w:pStyle w:val="34"/>
        <w:numPr>
          <w:ilvl w:val="2"/>
          <w:numId w:val="4"/>
        </w:numPr>
        <w:ind w:left="0" w:firstLine="0" w:firstLineChars="0"/>
        <w:outlineLvl w:val="2"/>
        <w:rPr>
          <w:kern w:val="0"/>
          <w:szCs w:val="21"/>
          <w:lang w:bidi="ar"/>
        </w:rPr>
      </w:pPr>
      <w:r>
        <w:rPr>
          <w:rFonts w:hint="eastAsia"/>
          <w:kern w:val="0"/>
          <w:szCs w:val="21"/>
          <w:lang w:bidi="ar"/>
        </w:rPr>
        <w:t>医疗机构应</w:t>
      </w:r>
      <w:r>
        <w:rPr>
          <w:rFonts w:hint="eastAsia"/>
          <w:kern w:val="0"/>
          <w:szCs w:val="21"/>
          <w:vertAlign w:val="baseline"/>
          <w:lang w:eastAsia="zh-CN" w:bidi="ar"/>
        </w:rPr>
        <w:t>为钇-90微球工作人员配备防护用品和去污用品</w:t>
      </w:r>
      <w:r>
        <w:rPr>
          <w:rFonts w:hint="eastAsia"/>
          <w:kern w:val="0"/>
          <w:szCs w:val="21"/>
          <w:lang w:bidi="ar"/>
        </w:rPr>
        <w:t>，其数量应满足开展工作需要。</w:t>
      </w:r>
    </w:p>
    <w:p>
      <w:pPr>
        <w:pStyle w:val="34"/>
        <w:numPr>
          <w:ilvl w:val="2"/>
          <w:numId w:val="4"/>
        </w:numPr>
        <w:ind w:left="0" w:firstLine="0" w:firstLineChars="0"/>
        <w:outlineLvl w:val="2"/>
        <w:rPr>
          <w:rFonts w:hint="eastAsia"/>
          <w:kern w:val="0"/>
          <w:szCs w:val="21"/>
          <w:vertAlign w:val="baseline"/>
          <w:lang w:eastAsia="zh-CN" w:bidi="ar"/>
        </w:rPr>
      </w:pPr>
      <w:r>
        <w:rPr>
          <w:rFonts w:hint="eastAsia"/>
          <w:kern w:val="0"/>
          <w:szCs w:val="21"/>
          <w:lang w:bidi="ar"/>
        </w:rPr>
        <w:t>根据</w:t>
      </w:r>
      <w:r>
        <w:rPr>
          <w:rFonts w:hint="eastAsia"/>
          <w:kern w:val="0"/>
          <w:szCs w:val="21"/>
          <w:vertAlign w:val="baseline"/>
          <w:lang w:eastAsia="zh-CN" w:bidi="ar"/>
        </w:rPr>
        <w:t>钇-90微球工作内容与实践需要，可选择使用移动铅屏风、有机玻璃注射器屏蔽套、有机玻璃钇-90微球V形瓶防护罩、有机玻璃钇-90微球转运箱、有机玻璃钇-90微球输注防护箱、托盘、长柄镊子、长柄卵圆钳、带有滤芯的排气针头、带有螺纹鲁尔锁的加长注射针头、带有铅防护的通风橱或手套箱、带有铅防护的放射性废物桶等辅助用品。</w:t>
      </w:r>
    </w:p>
    <w:p>
      <w:pPr>
        <w:pStyle w:val="34"/>
        <w:numPr>
          <w:ilvl w:val="2"/>
          <w:numId w:val="4"/>
        </w:numPr>
        <w:ind w:left="0" w:firstLine="0" w:firstLineChars="0"/>
        <w:outlineLvl w:val="2"/>
        <w:rPr>
          <w:rFonts w:hint="eastAsia"/>
          <w:kern w:val="0"/>
          <w:szCs w:val="21"/>
          <w:vertAlign w:val="baseline"/>
          <w:lang w:eastAsia="zh-CN" w:bidi="ar"/>
        </w:rPr>
      </w:pPr>
      <w:r>
        <w:rPr>
          <w:rFonts w:hint="eastAsia"/>
          <w:kern w:val="0"/>
          <w:szCs w:val="21"/>
          <w:vertAlign w:val="baseline"/>
          <w:lang w:eastAsia="zh-CN" w:bidi="ar"/>
        </w:rPr>
        <w:t>钇-90微球活度测量及分装操作者，应穿戴放射性污染防护服、使用有机玻璃注射器防护套、转运箱等措施。</w:t>
      </w:r>
    </w:p>
    <w:p>
      <w:pPr>
        <w:pStyle w:val="34"/>
        <w:numPr>
          <w:ilvl w:val="0"/>
          <w:numId w:val="4"/>
        </w:numPr>
        <w:spacing w:before="312" w:beforeLines="100" w:after="312" w:afterLines="100"/>
        <w:ind w:firstLineChars="0"/>
        <w:outlineLvl w:val="0"/>
        <w:rPr>
          <w:rFonts w:eastAsia="黑体"/>
          <w:szCs w:val="22"/>
        </w:rPr>
      </w:pPr>
      <w:bookmarkStart w:id="34" w:name="_Toc22390"/>
      <w:r>
        <w:rPr>
          <w:rFonts w:hint="eastAsia" w:eastAsia="黑体"/>
          <w:szCs w:val="22"/>
        </w:rPr>
        <w:t>治疗后患者的辐射安全与防护</w:t>
      </w:r>
      <w:bookmarkEnd w:id="34"/>
      <w:r>
        <w:rPr>
          <w:rFonts w:hint="eastAsia" w:eastAsia="黑体"/>
          <w:szCs w:val="22"/>
        </w:rPr>
        <w:t xml:space="preserve"> </w:t>
      </w:r>
    </w:p>
    <w:p>
      <w:pPr>
        <w:pStyle w:val="34"/>
        <w:numPr>
          <w:ilvl w:val="1"/>
          <w:numId w:val="4"/>
        </w:numPr>
        <w:spacing w:before="156" w:beforeLines="50" w:after="156" w:afterLines="50"/>
        <w:ind w:left="0" w:firstLine="0" w:firstLineChars="0"/>
        <w:outlineLvl w:val="1"/>
        <w:rPr>
          <w:rFonts w:hint="eastAsia"/>
          <w:kern w:val="0"/>
          <w:szCs w:val="21"/>
          <w:vertAlign w:val="baseline"/>
          <w:lang w:eastAsia="zh-CN" w:bidi="ar"/>
        </w:rPr>
      </w:pPr>
      <w:bookmarkStart w:id="35" w:name="OLE_LINK6"/>
      <w:r>
        <w:rPr>
          <w:rFonts w:hint="eastAsia"/>
          <w:kern w:val="0"/>
          <w:szCs w:val="21"/>
          <w:vertAlign w:val="baseline"/>
          <w:lang w:eastAsia="zh-CN" w:bidi="ar"/>
        </w:rPr>
        <w:t>钇-90微球介入治疗后患者应于</w:t>
      </w:r>
      <w:r>
        <w:rPr>
          <w:rFonts w:hint="eastAsia"/>
          <w:kern w:val="0"/>
          <w:szCs w:val="21"/>
          <w:vertAlign w:val="baseline"/>
          <w:lang w:val="en-US" w:eastAsia="zh-CN" w:bidi="ar"/>
        </w:rPr>
        <w:t>专用核素治疗</w:t>
      </w:r>
      <w:r>
        <w:rPr>
          <w:rFonts w:hint="eastAsia"/>
          <w:kern w:val="0"/>
          <w:szCs w:val="21"/>
          <w:vertAlign w:val="baseline"/>
          <w:lang w:eastAsia="zh-CN" w:bidi="ar"/>
        </w:rPr>
        <w:t>病房住院治疗，专用病房的建设应有独立专用卫生间，</w:t>
      </w:r>
      <w:r>
        <w:rPr>
          <w:rFonts w:hint="eastAsia"/>
          <w:kern w:val="0"/>
          <w:szCs w:val="21"/>
          <w:vertAlign w:val="baseline"/>
          <w:lang w:val="en-US" w:eastAsia="zh-CN" w:bidi="ar"/>
        </w:rPr>
        <w:t>排泄物纳入衰变池管理。</w:t>
      </w:r>
      <w:bookmarkEnd w:id="35"/>
    </w:p>
    <w:p>
      <w:pPr>
        <w:pStyle w:val="34"/>
        <w:numPr>
          <w:ilvl w:val="1"/>
          <w:numId w:val="4"/>
        </w:numPr>
        <w:spacing w:before="156" w:beforeLines="50" w:after="156" w:afterLines="50"/>
        <w:ind w:left="0" w:firstLine="0" w:firstLineChars="0"/>
        <w:outlineLvl w:val="1"/>
        <w:rPr>
          <w:kern w:val="0"/>
          <w:szCs w:val="21"/>
          <w:lang w:bidi="ar"/>
        </w:rPr>
      </w:pPr>
      <w:r>
        <w:rPr>
          <w:rFonts w:hint="eastAsia"/>
          <w:kern w:val="0"/>
          <w:szCs w:val="21"/>
          <w:vertAlign w:val="baseline"/>
          <w:lang w:eastAsia="zh-CN" w:bidi="ar"/>
        </w:rPr>
        <w:t>钇-90微球介入治疗后患者住院期间</w:t>
      </w:r>
      <w:r>
        <w:rPr>
          <w:rFonts w:hint="eastAsia"/>
          <w:kern w:val="0"/>
          <w:szCs w:val="21"/>
          <w:lang w:bidi="ar"/>
        </w:rPr>
        <w:t>，医护人员、陪护者、探视者等人员宜与患者保持1 m以上的距离。对住院患者近距离护理或接触时，医护人员宜穿戴不小于0.5 mmPb的个人防护用品。</w:t>
      </w:r>
    </w:p>
    <w:p>
      <w:pPr>
        <w:pStyle w:val="34"/>
        <w:numPr>
          <w:ilvl w:val="1"/>
          <w:numId w:val="4"/>
        </w:numPr>
        <w:spacing w:before="156" w:beforeLines="50" w:after="156" w:afterLines="50"/>
        <w:ind w:left="0" w:firstLine="0" w:firstLineChars="0"/>
        <w:outlineLvl w:val="1"/>
        <w:rPr>
          <w:kern w:val="0"/>
          <w:szCs w:val="21"/>
          <w:lang w:bidi="ar"/>
        </w:rPr>
      </w:pPr>
      <w:r>
        <w:rPr>
          <w:rFonts w:hint="eastAsia"/>
          <w:kern w:val="0"/>
          <w:szCs w:val="21"/>
          <w:lang w:bidi="ar"/>
        </w:rPr>
        <w:t>接</w:t>
      </w:r>
      <w:r>
        <w:rPr>
          <w:rFonts w:hint="eastAsia"/>
          <w:kern w:val="0"/>
          <w:szCs w:val="21"/>
          <w:vertAlign w:val="baseline"/>
          <w:lang w:eastAsia="zh-CN" w:bidi="ar"/>
        </w:rPr>
        <w:t>受钇-90微球治疗的患者，应在其</w:t>
      </w:r>
      <w:r>
        <w:rPr>
          <w:rFonts w:hint="eastAsia"/>
          <w:kern w:val="0"/>
          <w:szCs w:val="21"/>
          <w:lang w:bidi="ar"/>
        </w:rPr>
        <w:t>体内放射性活度降至≤ 2500</w:t>
      </w:r>
      <w:r>
        <w:rPr>
          <w:kern w:val="0"/>
          <w:szCs w:val="21"/>
          <w:lang w:bidi="ar"/>
        </w:rPr>
        <w:t xml:space="preserve"> </w:t>
      </w:r>
      <w:r>
        <w:rPr>
          <w:rFonts w:hint="eastAsia"/>
          <w:kern w:val="0"/>
          <w:szCs w:val="21"/>
          <w:lang w:bidi="ar"/>
        </w:rPr>
        <w:t>MBq时方可出院。</w:t>
      </w:r>
    </w:p>
    <w:p>
      <w:pPr>
        <w:pStyle w:val="34"/>
        <w:numPr>
          <w:ilvl w:val="1"/>
          <w:numId w:val="4"/>
        </w:numPr>
        <w:spacing w:before="156" w:beforeLines="50" w:after="156" w:afterLines="50"/>
        <w:ind w:left="0" w:firstLine="0" w:firstLineChars="0"/>
        <w:outlineLvl w:val="1"/>
        <w:rPr>
          <w:kern w:val="0"/>
          <w:szCs w:val="21"/>
          <w:lang w:bidi="ar"/>
        </w:rPr>
      </w:pPr>
      <w:r>
        <w:rPr>
          <w:rFonts w:hint="eastAsia"/>
          <w:kern w:val="0"/>
          <w:szCs w:val="21"/>
          <w:vertAlign w:val="baseline"/>
          <w:lang w:eastAsia="zh-CN" w:bidi="ar"/>
        </w:rPr>
        <w:t>钇-90</w:t>
      </w:r>
      <w:r>
        <w:rPr>
          <w:rFonts w:hint="eastAsia"/>
          <w:kern w:val="0"/>
          <w:szCs w:val="21"/>
          <w:lang w:bidi="ar"/>
        </w:rPr>
        <w:t>微球治疗患者离院前，应进行辐射防护告知。建议接受</w:t>
      </w:r>
      <w:r>
        <w:rPr>
          <w:rFonts w:hint="eastAsia"/>
          <w:kern w:val="0"/>
          <w:szCs w:val="21"/>
          <w:vertAlign w:val="baseline"/>
          <w:lang w:eastAsia="zh-CN" w:bidi="ar"/>
        </w:rPr>
        <w:t>钇-90</w:t>
      </w:r>
      <w:r>
        <w:rPr>
          <w:rFonts w:hint="eastAsia"/>
          <w:kern w:val="0"/>
          <w:szCs w:val="21"/>
          <w:lang w:bidi="ar"/>
        </w:rPr>
        <w:t>微球治疗的患者在治疗后一段时间内避免与公众，特别是与敏感人群（如孕妇和儿童）进行密切接触，必要时向患者提供有关与其他人员接触时辐射防护措施的书面指导。</w:t>
      </w:r>
    </w:p>
    <w:p>
      <w:pPr>
        <w:pStyle w:val="34"/>
        <w:numPr>
          <w:ilvl w:val="0"/>
          <w:numId w:val="4"/>
        </w:numPr>
        <w:spacing w:before="312" w:beforeLines="100" w:after="312" w:afterLines="100"/>
        <w:ind w:firstLineChars="0"/>
        <w:outlineLvl w:val="0"/>
        <w:rPr>
          <w:rFonts w:hint="eastAsia" w:eastAsia="黑体"/>
          <w:szCs w:val="22"/>
        </w:rPr>
      </w:pPr>
      <w:bookmarkStart w:id="36" w:name="_Toc30089"/>
      <w:r>
        <w:rPr>
          <w:rFonts w:hint="eastAsia" w:eastAsia="黑体"/>
          <w:szCs w:val="22"/>
        </w:rPr>
        <w:t>环境辐射监测要求</w:t>
      </w:r>
      <w:bookmarkEnd w:id="36"/>
    </w:p>
    <w:p>
      <w:pPr>
        <w:pStyle w:val="34"/>
        <w:numPr>
          <w:ilvl w:val="1"/>
          <w:numId w:val="4"/>
        </w:numPr>
        <w:spacing w:before="156" w:beforeLines="50" w:after="156" w:afterLines="50"/>
        <w:ind w:left="0" w:firstLine="0" w:firstLineChars="0"/>
        <w:outlineLvl w:val="1"/>
        <w:rPr>
          <w:rFonts w:hint="eastAsia"/>
          <w:kern w:val="0"/>
          <w:szCs w:val="21"/>
          <w:vertAlign w:val="baseline"/>
          <w:lang w:eastAsia="zh-CN" w:bidi="ar"/>
        </w:rPr>
      </w:pPr>
      <w:r>
        <w:rPr>
          <w:rFonts w:hint="eastAsia"/>
          <w:kern w:val="0"/>
          <w:szCs w:val="21"/>
          <w:vertAlign w:val="baseline"/>
          <w:lang w:eastAsia="zh-CN" w:bidi="ar"/>
        </w:rPr>
        <w:t>医疗机构应对钇-90微球临床诊疗活动工作场所及周围环境进行定期辐射监测与评估，证明已采取的辐射安全与防护措施的合理性。</w:t>
      </w:r>
    </w:p>
    <w:p>
      <w:pPr>
        <w:pStyle w:val="34"/>
        <w:numPr>
          <w:ilvl w:val="1"/>
          <w:numId w:val="4"/>
        </w:numPr>
        <w:spacing w:before="156" w:beforeLines="50" w:after="156" w:afterLines="50"/>
        <w:ind w:left="0" w:firstLine="0" w:firstLineChars="0"/>
        <w:outlineLvl w:val="1"/>
        <w:rPr>
          <w:rFonts w:hint="eastAsia"/>
          <w:kern w:val="0"/>
          <w:szCs w:val="21"/>
          <w:vertAlign w:val="baseline"/>
          <w:lang w:eastAsia="zh-CN" w:bidi="ar"/>
        </w:rPr>
      </w:pPr>
      <w:r>
        <w:rPr>
          <w:rFonts w:hint="eastAsia"/>
          <w:kern w:val="0"/>
          <w:szCs w:val="21"/>
          <w:vertAlign w:val="baseline"/>
          <w:lang w:val="en-US" w:eastAsia="zh-CN" w:bidi="ar"/>
        </w:rPr>
        <w:t>使用前和</w:t>
      </w:r>
      <w:r>
        <w:rPr>
          <w:rFonts w:hint="eastAsia"/>
          <w:kern w:val="0"/>
          <w:szCs w:val="21"/>
          <w:vertAlign w:val="baseline"/>
          <w:lang w:eastAsia="zh-CN" w:bidi="ar"/>
        </w:rPr>
        <w:t>使用过程中应定期对核医学科、介入手术室、病房或给药后留观区等相关工作场所表面污染水平进行监测。</w:t>
      </w:r>
    </w:p>
    <w:p>
      <w:pPr>
        <w:pStyle w:val="34"/>
        <w:numPr>
          <w:ilvl w:val="1"/>
          <w:numId w:val="4"/>
        </w:numPr>
        <w:spacing w:before="156" w:beforeLines="50" w:after="156" w:afterLines="50"/>
        <w:ind w:left="0" w:firstLine="0" w:firstLineChars="0"/>
        <w:outlineLvl w:val="1"/>
        <w:rPr>
          <w:rFonts w:hint="eastAsia"/>
          <w:kern w:val="0"/>
          <w:szCs w:val="21"/>
          <w:vertAlign w:val="baseline"/>
          <w:lang w:eastAsia="zh-CN" w:bidi="ar"/>
        </w:rPr>
      </w:pPr>
      <w:r>
        <w:rPr>
          <w:rFonts w:hint="eastAsia"/>
          <w:kern w:val="0"/>
          <w:szCs w:val="21"/>
          <w:vertAlign w:val="baseline"/>
          <w:lang w:eastAsia="zh-CN" w:bidi="ar"/>
        </w:rPr>
        <w:t>操作钇-90微球的放射性工作人员，在离开钇-90微球临床诊疗活动</w:t>
      </w:r>
      <w:bookmarkStart w:id="49" w:name="_GoBack"/>
      <w:bookmarkEnd w:id="49"/>
      <w:r>
        <w:rPr>
          <w:rFonts w:hint="eastAsia"/>
          <w:kern w:val="0"/>
          <w:szCs w:val="21"/>
          <w:vertAlign w:val="baseline"/>
          <w:lang w:eastAsia="zh-CN" w:bidi="ar"/>
        </w:rPr>
        <w:t>工作场所时应进行表面污染检测，对超出控制标准者应采取相应的去污措施。</w:t>
      </w:r>
    </w:p>
    <w:p>
      <w:pPr>
        <w:pStyle w:val="34"/>
        <w:numPr>
          <w:ilvl w:val="1"/>
          <w:numId w:val="4"/>
        </w:numPr>
        <w:spacing w:before="156" w:beforeLines="50" w:after="156" w:afterLines="50"/>
        <w:ind w:left="0" w:firstLine="0" w:firstLineChars="0"/>
        <w:outlineLvl w:val="1"/>
        <w:rPr>
          <w:rFonts w:hint="eastAsia"/>
          <w:kern w:val="0"/>
          <w:szCs w:val="21"/>
          <w:vertAlign w:val="baseline"/>
          <w:lang w:eastAsia="zh-CN" w:bidi="ar"/>
        </w:rPr>
      </w:pPr>
      <w:r>
        <w:rPr>
          <w:rFonts w:hint="eastAsia"/>
          <w:kern w:val="0"/>
          <w:szCs w:val="21"/>
          <w:vertAlign w:val="baseline"/>
          <w:lang w:eastAsia="zh-CN" w:bidi="ar"/>
        </w:rPr>
        <w:t>钇-90微球介入手术结束后应对钇-90微球介入工作场所及手术者双手、双足、手术床、手术相关区域进行表面污染控制水平监测，以排除钇-90微球介入治疗过程中的潜在污染。</w:t>
      </w:r>
    </w:p>
    <w:p>
      <w:pPr>
        <w:pStyle w:val="34"/>
        <w:numPr>
          <w:ilvl w:val="1"/>
          <w:numId w:val="4"/>
        </w:numPr>
        <w:spacing w:before="156" w:beforeLines="50" w:after="156" w:afterLines="50"/>
        <w:ind w:left="0" w:firstLine="0" w:firstLineChars="0"/>
        <w:outlineLvl w:val="1"/>
        <w:rPr>
          <w:rFonts w:hint="eastAsia"/>
          <w:kern w:val="0"/>
          <w:szCs w:val="21"/>
          <w:vertAlign w:val="baseline"/>
          <w:lang w:eastAsia="zh-CN" w:bidi="ar"/>
        </w:rPr>
      </w:pPr>
      <w:r>
        <w:rPr>
          <w:rFonts w:hint="eastAsia"/>
          <w:kern w:val="0"/>
          <w:szCs w:val="21"/>
          <w:vertAlign w:val="baseline"/>
          <w:lang w:eastAsia="zh-CN" w:bidi="ar"/>
        </w:rPr>
        <w:t>重复使用的有机玻璃防护罩在使用前及使用后应进行表面污染检测。</w:t>
      </w:r>
    </w:p>
    <w:p>
      <w:pPr>
        <w:pStyle w:val="34"/>
        <w:numPr>
          <w:ilvl w:val="0"/>
          <w:numId w:val="4"/>
        </w:numPr>
        <w:spacing w:before="312" w:beforeLines="100" w:after="312" w:afterLines="100"/>
        <w:ind w:firstLineChars="0"/>
        <w:outlineLvl w:val="0"/>
        <w:rPr>
          <w:rFonts w:eastAsia="黑体"/>
          <w:szCs w:val="22"/>
        </w:rPr>
      </w:pPr>
      <w:bookmarkStart w:id="37" w:name="_Toc6566"/>
      <w:r>
        <w:rPr>
          <w:rFonts w:hint="eastAsia" w:eastAsia="黑体"/>
          <w:szCs w:val="22"/>
        </w:rPr>
        <w:t>放射性废物管理</w:t>
      </w:r>
      <w:bookmarkEnd w:id="37"/>
    </w:p>
    <w:p>
      <w:pPr>
        <w:pStyle w:val="34"/>
        <w:numPr>
          <w:ilvl w:val="1"/>
          <w:numId w:val="4"/>
        </w:numPr>
        <w:spacing w:before="156" w:beforeLines="50" w:after="156" w:afterLines="50"/>
        <w:ind w:left="0" w:firstLine="0" w:firstLineChars="0"/>
        <w:outlineLvl w:val="1"/>
        <w:rPr>
          <w:szCs w:val="22"/>
        </w:rPr>
      </w:pPr>
      <w:r>
        <w:rPr>
          <w:rFonts w:hint="eastAsia"/>
          <w:kern w:val="0"/>
          <w:szCs w:val="21"/>
          <w:vertAlign w:val="baseline"/>
          <w:lang w:eastAsia="zh-CN" w:bidi="ar"/>
        </w:rPr>
        <w:t>钇-90</w:t>
      </w:r>
      <w:r>
        <w:rPr>
          <w:szCs w:val="22"/>
        </w:rPr>
        <w:t>微球治疗过程中产生的含</w:t>
      </w:r>
      <w:r>
        <w:rPr>
          <w:rFonts w:hint="eastAsia"/>
          <w:kern w:val="0"/>
          <w:szCs w:val="21"/>
          <w:vertAlign w:val="baseline"/>
          <w:lang w:eastAsia="zh-CN" w:bidi="ar"/>
        </w:rPr>
        <w:t>钇-90</w:t>
      </w:r>
      <w:r>
        <w:rPr>
          <w:szCs w:val="22"/>
        </w:rPr>
        <w:t>医疗放射性废弃物，包括</w:t>
      </w:r>
      <w:r>
        <w:rPr>
          <w:rFonts w:hint="eastAsia"/>
          <w:kern w:val="0"/>
          <w:szCs w:val="21"/>
          <w:vertAlign w:val="baseline"/>
          <w:lang w:eastAsia="zh-CN" w:bidi="ar"/>
        </w:rPr>
        <w:t>钇-90</w:t>
      </w:r>
      <w:r>
        <w:rPr>
          <w:szCs w:val="22"/>
        </w:rPr>
        <w:t>微球分装后的残留</w:t>
      </w:r>
      <w:r>
        <w:rPr>
          <w:rFonts w:hint="eastAsia"/>
          <w:szCs w:val="22"/>
        </w:rPr>
        <w:t>微球</w:t>
      </w:r>
      <w:r>
        <w:rPr>
          <w:szCs w:val="22"/>
        </w:rPr>
        <w:t>、含</w:t>
      </w:r>
      <w:r>
        <w:rPr>
          <w:rFonts w:hint="eastAsia"/>
          <w:kern w:val="0"/>
          <w:szCs w:val="21"/>
          <w:vertAlign w:val="baseline"/>
          <w:lang w:eastAsia="zh-CN" w:bidi="ar"/>
        </w:rPr>
        <w:t>有钇-90</w:t>
      </w:r>
      <w:r>
        <w:rPr>
          <w:szCs w:val="22"/>
        </w:rPr>
        <w:t>微球的注射器、V形瓶、输注管路、血管内介入鞘管、</w:t>
      </w:r>
      <w:r>
        <w:rPr>
          <w:rFonts w:hint="eastAsia"/>
          <w:kern w:val="0"/>
          <w:szCs w:val="21"/>
          <w:lang w:bidi="ar"/>
        </w:rPr>
        <w:t>存</w:t>
      </w:r>
      <w:r>
        <w:rPr>
          <w:rFonts w:hint="eastAsia"/>
          <w:kern w:val="0"/>
          <w:szCs w:val="21"/>
          <w:vertAlign w:val="baseline"/>
          <w:lang w:eastAsia="zh-CN" w:bidi="ar"/>
        </w:rPr>
        <w:t>在钇-90</w:t>
      </w:r>
      <w:r>
        <w:rPr>
          <w:rFonts w:hint="eastAsia"/>
          <w:kern w:val="0"/>
          <w:szCs w:val="21"/>
          <w:lang w:bidi="ar"/>
        </w:rPr>
        <w:t>污染的</w:t>
      </w:r>
      <w:r>
        <w:rPr>
          <w:szCs w:val="22"/>
        </w:rPr>
        <w:t>敷料、无菌巾、术者手套等医疗废弃物。</w:t>
      </w:r>
    </w:p>
    <w:p>
      <w:pPr>
        <w:pStyle w:val="34"/>
        <w:numPr>
          <w:ilvl w:val="1"/>
          <w:numId w:val="4"/>
        </w:numPr>
        <w:spacing w:before="156" w:beforeLines="50" w:after="156" w:afterLines="50"/>
        <w:ind w:left="0" w:firstLine="0" w:firstLineChars="0"/>
        <w:outlineLvl w:val="1"/>
        <w:rPr>
          <w:szCs w:val="22"/>
        </w:rPr>
      </w:pPr>
      <w:r>
        <w:rPr>
          <w:szCs w:val="22"/>
        </w:rPr>
        <w:t>应按</w:t>
      </w:r>
      <w:r>
        <w:rPr>
          <w:rFonts w:hint="eastAsia"/>
          <w:kern w:val="0"/>
          <w:szCs w:val="21"/>
          <w:vertAlign w:val="baseline"/>
          <w:lang w:eastAsia="zh-CN" w:bidi="ar"/>
        </w:rPr>
        <w:t>照钇-90微</w:t>
      </w:r>
      <w:r>
        <w:rPr>
          <w:szCs w:val="22"/>
        </w:rPr>
        <w:t>球废物最小化的原则区分放射性废物与解控废物，进行分类处理，应尽量控制和减少</w:t>
      </w:r>
      <w:r>
        <w:rPr>
          <w:rFonts w:hint="eastAsia"/>
          <w:kern w:val="0"/>
          <w:szCs w:val="21"/>
          <w:vertAlign w:val="baseline"/>
          <w:lang w:eastAsia="zh-CN" w:bidi="ar"/>
        </w:rPr>
        <w:t>含钇-90医</w:t>
      </w:r>
      <w:r>
        <w:rPr>
          <w:szCs w:val="22"/>
        </w:rPr>
        <w:t>疗放射性废物的产生量。</w:t>
      </w:r>
    </w:p>
    <w:p>
      <w:pPr>
        <w:pStyle w:val="34"/>
        <w:numPr>
          <w:ilvl w:val="1"/>
          <w:numId w:val="4"/>
        </w:numPr>
        <w:spacing w:before="156" w:beforeLines="50" w:after="156" w:afterLines="50"/>
        <w:ind w:left="0" w:firstLine="0" w:firstLineChars="0"/>
        <w:outlineLvl w:val="1"/>
        <w:rPr>
          <w:szCs w:val="22"/>
        </w:rPr>
      </w:pPr>
      <w:r>
        <w:rPr>
          <w:rFonts w:hint="eastAsia"/>
          <w:kern w:val="0"/>
          <w:szCs w:val="21"/>
          <w:vertAlign w:val="baseline"/>
          <w:lang w:eastAsia="zh-CN" w:bidi="ar"/>
        </w:rPr>
        <w:t>含钇-90医疗放</w:t>
      </w:r>
      <w:r>
        <w:rPr>
          <w:szCs w:val="22"/>
        </w:rPr>
        <w:t>射性废物的收集、处理、贮存、解控及管理应遵守GB 18871 及HJ 1188中放射性医疗废物处理原则。</w:t>
      </w:r>
    </w:p>
    <w:p>
      <w:pPr>
        <w:pStyle w:val="34"/>
        <w:numPr>
          <w:ilvl w:val="0"/>
          <w:numId w:val="4"/>
        </w:numPr>
        <w:spacing w:before="312" w:beforeLines="100" w:after="312" w:afterLines="100"/>
        <w:ind w:firstLineChars="0"/>
        <w:outlineLvl w:val="0"/>
        <w:rPr>
          <w:rFonts w:eastAsia="黑体"/>
          <w:szCs w:val="22"/>
        </w:rPr>
      </w:pPr>
      <w:bookmarkStart w:id="38" w:name="_Toc24703"/>
      <w:r>
        <w:rPr>
          <w:rFonts w:hint="eastAsia" w:eastAsia="黑体"/>
          <w:szCs w:val="22"/>
        </w:rPr>
        <w:t>辐射事故应急响应要求</w:t>
      </w:r>
      <w:bookmarkEnd w:id="38"/>
    </w:p>
    <w:p>
      <w:pPr>
        <w:pStyle w:val="34"/>
        <w:numPr>
          <w:ilvl w:val="1"/>
          <w:numId w:val="4"/>
        </w:numPr>
        <w:spacing w:before="156" w:beforeLines="50" w:after="156" w:afterLines="50"/>
        <w:ind w:left="0" w:leftChars="0" w:firstLine="0" w:firstLineChars="0"/>
        <w:jc w:val="left"/>
        <w:outlineLvl w:val="1"/>
        <w:rPr>
          <w:rFonts w:hint="eastAsia"/>
          <w:kern w:val="0"/>
          <w:szCs w:val="21"/>
          <w:vertAlign w:val="baseline"/>
          <w:lang w:eastAsia="zh-CN" w:bidi="ar"/>
        </w:rPr>
      </w:pPr>
      <w:r>
        <w:rPr>
          <w:rFonts w:hint="eastAsia"/>
          <w:kern w:val="0"/>
          <w:szCs w:val="21"/>
          <w:vertAlign w:val="baseline"/>
          <w:lang w:eastAsia="zh-CN" w:bidi="ar"/>
        </w:rPr>
        <w:t>医疗机构应制定钇-90微球临床诊疗活动辐射事故应急预案，做好辐射事故应急准备与应急响应工作安排。</w:t>
      </w:r>
    </w:p>
    <w:p>
      <w:pPr>
        <w:pStyle w:val="34"/>
        <w:numPr>
          <w:ilvl w:val="1"/>
          <w:numId w:val="4"/>
        </w:numPr>
        <w:spacing w:before="156" w:beforeLines="50" w:after="156" w:afterLines="50"/>
        <w:ind w:left="0" w:firstLine="0" w:firstLineChars="0"/>
        <w:outlineLvl w:val="1"/>
        <w:rPr>
          <w:rFonts w:hint="eastAsia"/>
          <w:kern w:val="0"/>
          <w:szCs w:val="21"/>
          <w:vertAlign w:val="baseline"/>
          <w:lang w:eastAsia="zh-CN" w:bidi="ar"/>
        </w:rPr>
      </w:pPr>
      <w:r>
        <w:rPr>
          <w:rFonts w:hint="eastAsia"/>
          <w:kern w:val="0"/>
          <w:szCs w:val="21"/>
          <w:vertAlign w:val="baseline"/>
          <w:lang w:eastAsia="zh-CN" w:bidi="ar"/>
        </w:rPr>
        <w:t>当发生或辐射监测发现钇-90微球溢出、散漏事故时，应立即中止操作，按照辐射事故应急预案进行钇-90放射性渗漏应急处置及上报工作。处理可参照使用GBZ 120及其附录K所列用品，及时控制、消除放射性污染；当操作人员皮肤、伤口被污染时，应迅速去污并给予医学处理。</w:t>
      </w:r>
    </w:p>
    <w:p>
      <w:pPr>
        <w:pStyle w:val="34"/>
        <w:keepNext w:val="0"/>
        <w:keepLines w:val="0"/>
        <w:pageBreakBefore w:val="0"/>
        <w:widowControl w:val="0"/>
        <w:numPr>
          <w:ilvl w:val="1"/>
          <w:numId w:val="4"/>
        </w:numPr>
        <w:kinsoku/>
        <w:wordWrap/>
        <w:overflowPunct/>
        <w:topLinePunct w:val="0"/>
        <w:autoSpaceDE/>
        <w:autoSpaceDN/>
        <w:bidi w:val="0"/>
        <w:adjustRightInd/>
        <w:snapToGrid/>
        <w:spacing w:before="156" w:beforeLines="50" w:after="156" w:afterLines="50"/>
        <w:ind w:left="0" w:firstLine="0" w:firstLineChars="0"/>
        <w:textAlignment w:val="auto"/>
        <w:outlineLvl w:val="1"/>
        <w:rPr>
          <w:rFonts w:hint="eastAsia"/>
          <w:kern w:val="0"/>
          <w:szCs w:val="21"/>
          <w:vertAlign w:val="baseline"/>
          <w:lang w:eastAsia="zh-CN" w:bidi="ar"/>
        </w:rPr>
      </w:pPr>
      <w:r>
        <w:rPr>
          <w:rFonts w:hint="eastAsia"/>
          <w:kern w:val="0"/>
          <w:szCs w:val="21"/>
          <w:vertAlign w:val="baseline"/>
          <w:lang w:eastAsia="zh-CN" w:bidi="ar"/>
        </w:rPr>
        <w:t>对介入操作中可能发生异常照射的处理，应满足GBZ 130的应急处理要求。</w:t>
      </w:r>
      <w:bookmarkStart w:id="39" w:name="_Toc96316785"/>
      <w:bookmarkStart w:id="40" w:name="_Toc6534"/>
    </w:p>
    <w:bookmarkEnd w:id="39"/>
    <w:bookmarkEnd w:id="40"/>
    <w:p>
      <w:pPr>
        <w:pStyle w:val="34"/>
        <w:spacing w:before="640"/>
        <w:ind w:firstLine="0" w:firstLineChars="0"/>
        <w:jc w:val="center"/>
        <w:outlineLvl w:val="0"/>
        <w:rPr>
          <w:rFonts w:eastAsia="黑体"/>
          <w:szCs w:val="22"/>
        </w:rPr>
      </w:pPr>
    </w:p>
    <w:p>
      <w:pPr>
        <w:rPr>
          <w:rFonts w:eastAsia="黑体"/>
          <w:szCs w:val="22"/>
        </w:rPr>
      </w:pPr>
      <w:r>
        <w:rPr>
          <w:rFonts w:eastAsia="黑体"/>
          <w:szCs w:val="22"/>
        </w:rPr>
        <w:br w:type="page"/>
      </w:r>
    </w:p>
    <w:p>
      <w:pPr>
        <w:pStyle w:val="37"/>
        <w:numPr>
          <w:ilvl w:val="0"/>
          <w:numId w:val="0"/>
        </w:numPr>
        <w:tabs>
          <w:tab w:val="left" w:pos="360"/>
          <w:tab w:val="left" w:pos="6405"/>
        </w:tabs>
        <w:spacing w:before="0" w:after="0"/>
        <w:rPr>
          <w:rFonts w:ascii="Times New Roman"/>
        </w:rPr>
      </w:pPr>
      <w:bookmarkStart w:id="41" w:name="_Toc26010"/>
      <w:bookmarkStart w:id="42" w:name="_Toc10199"/>
      <w:r>
        <w:rPr>
          <w:rFonts w:ascii="Times New Roman"/>
        </w:rPr>
        <w:t>附录</w:t>
      </w:r>
      <w:bookmarkEnd w:id="41"/>
      <w:r>
        <w:rPr>
          <w:rFonts w:ascii="Times New Roman"/>
        </w:rPr>
        <w:t>A</w:t>
      </w:r>
      <w:bookmarkEnd w:id="42"/>
    </w:p>
    <w:p>
      <w:pPr>
        <w:jc w:val="center"/>
        <w:outlineLvl w:val="0"/>
        <w:rPr>
          <w:rFonts w:eastAsia="黑体"/>
          <w:szCs w:val="21"/>
        </w:rPr>
      </w:pPr>
      <w:bookmarkStart w:id="43" w:name="_Toc184978275"/>
      <w:bookmarkStart w:id="44" w:name="_Toc7635"/>
      <w:r>
        <w:rPr>
          <w:rFonts w:eastAsia="黑体"/>
          <w:spacing w:val="-7"/>
          <w:szCs w:val="21"/>
        </w:rPr>
        <w:t>（</w:t>
      </w:r>
      <w:r>
        <w:rPr>
          <w:rFonts w:hint="eastAsia" w:eastAsia="黑体"/>
          <w:spacing w:val="-7"/>
          <w:szCs w:val="21"/>
        </w:rPr>
        <w:t>规范</w:t>
      </w:r>
      <w:r>
        <w:rPr>
          <w:rFonts w:eastAsia="黑体"/>
          <w:spacing w:val="-7"/>
          <w:szCs w:val="21"/>
        </w:rPr>
        <w:t>性</w:t>
      </w:r>
      <w:r>
        <w:rPr>
          <w:rFonts w:hint="eastAsia" w:eastAsia="黑体"/>
          <w:spacing w:val="-7"/>
          <w:szCs w:val="21"/>
        </w:rPr>
        <w:t>附录</w:t>
      </w:r>
      <w:r>
        <w:rPr>
          <w:rFonts w:eastAsia="黑体"/>
          <w:spacing w:val="-7"/>
          <w:szCs w:val="21"/>
        </w:rPr>
        <w:t>）</w:t>
      </w:r>
      <w:bookmarkEnd w:id="43"/>
      <w:bookmarkEnd w:id="44"/>
    </w:p>
    <w:p>
      <w:pPr>
        <w:jc w:val="center"/>
        <w:outlineLvl w:val="0"/>
      </w:pPr>
      <w:bookmarkStart w:id="45" w:name="_Toc14533"/>
      <w:bookmarkStart w:id="46" w:name="_Toc184978276"/>
      <w:r>
        <w:rPr>
          <w:rFonts w:hint="eastAsia" w:eastAsia="黑体"/>
          <w:spacing w:val="-7"/>
          <w:szCs w:val="21"/>
        </w:rPr>
        <w:t>工作场所放射性表面污染控制水平</w:t>
      </w:r>
      <w:bookmarkEnd w:id="45"/>
      <w:bookmarkEnd w:id="46"/>
    </w:p>
    <w:p>
      <w:pPr>
        <w:outlineLvl w:val="2"/>
        <w:rPr>
          <w:kern w:val="0"/>
          <w:szCs w:val="21"/>
          <w:lang w:bidi="ar"/>
        </w:rPr>
      </w:pPr>
    </w:p>
    <w:p>
      <w:pPr>
        <w:jc w:val="center"/>
      </w:pPr>
      <w:r>
        <w:rPr>
          <w:rFonts w:hint="eastAsia"/>
        </w:rPr>
        <w:t>表</w:t>
      </w:r>
      <w:r>
        <w:t>1</w:t>
      </w:r>
      <w:r>
        <w:rPr>
          <w:rFonts w:hint="eastAsia"/>
        </w:rPr>
        <w:t xml:space="preserve"> 工作场所放射性表面污染控制水平（单位Bq/cm</w:t>
      </w:r>
      <w:r>
        <w:rPr>
          <w:vertAlign w:val="superscript"/>
        </w:rPr>
        <w:t>2</w:t>
      </w:r>
      <w:r>
        <w:rPr>
          <w:rFonts w:hint="eastAsia"/>
        </w:rPr>
        <w:t>）</w:t>
      </w:r>
    </w:p>
    <w:tbl>
      <w:tblPr>
        <w:tblStyle w:val="29"/>
        <w:tblW w:w="8578"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267"/>
        <w:gridCol w:w="1695"/>
        <w:gridCol w:w="361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67" w:hRule="atLeast"/>
          <w:jc w:val="center"/>
        </w:trPr>
        <w:tc>
          <w:tcPr>
            <w:tcW w:w="3267" w:type="dxa"/>
            <w:vAlign w:val="center"/>
          </w:tcPr>
          <w:p>
            <w:pPr>
              <w:jc w:val="center"/>
            </w:pPr>
            <w:r>
              <w:rPr>
                <w:rFonts w:hint="eastAsia"/>
              </w:rPr>
              <w:t>表面类型</w:t>
            </w:r>
          </w:p>
        </w:tc>
        <w:tc>
          <w:tcPr>
            <w:tcW w:w="1695" w:type="dxa"/>
            <w:tcBorders>
              <w:bottom w:val="single" w:color="auto" w:sz="4" w:space="0"/>
            </w:tcBorders>
            <w:vAlign w:val="center"/>
          </w:tcPr>
          <w:p>
            <w:pPr>
              <w:jc w:val="center"/>
            </w:pPr>
          </w:p>
        </w:tc>
        <w:tc>
          <w:tcPr>
            <w:tcW w:w="3616" w:type="dxa"/>
            <w:tcBorders>
              <w:bottom w:val="single" w:color="auto" w:sz="4" w:space="0"/>
            </w:tcBorders>
            <w:vAlign w:val="center"/>
          </w:tcPr>
          <w:p>
            <w:pPr>
              <w:jc w:val="center"/>
            </w:pPr>
            <w:r>
              <w:rPr>
                <w:rFonts w:hint="eastAsia"/>
              </w:rPr>
              <w:t>β放射性物质</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67" w:hRule="atLeast"/>
          <w:jc w:val="center"/>
        </w:trPr>
        <w:tc>
          <w:tcPr>
            <w:tcW w:w="3267" w:type="dxa"/>
            <w:vMerge w:val="restart"/>
            <w:vAlign w:val="center"/>
          </w:tcPr>
          <w:p>
            <w:pPr>
              <w:jc w:val="center"/>
            </w:pPr>
            <w:r>
              <w:t>工作台</w:t>
            </w:r>
            <w:r>
              <w:rPr>
                <w:rFonts w:hint="eastAsia"/>
              </w:rPr>
              <w:t>、</w:t>
            </w:r>
            <w:r>
              <w:t>设备</w:t>
            </w:r>
            <w:r>
              <w:rPr>
                <w:rFonts w:hint="eastAsia"/>
              </w:rPr>
              <w:t>、</w:t>
            </w:r>
            <w:r>
              <w:t>墙壁</w:t>
            </w:r>
            <w:r>
              <w:rPr>
                <w:rFonts w:hint="eastAsia"/>
              </w:rPr>
              <w:t>、</w:t>
            </w:r>
            <w:r>
              <w:t>地面</w:t>
            </w:r>
          </w:p>
        </w:tc>
        <w:tc>
          <w:tcPr>
            <w:tcW w:w="1695" w:type="dxa"/>
            <w:tcBorders>
              <w:bottom w:val="nil"/>
            </w:tcBorders>
            <w:vAlign w:val="center"/>
          </w:tcPr>
          <w:p>
            <w:pPr>
              <w:jc w:val="center"/>
            </w:pPr>
            <w:r>
              <w:t>控制区</w:t>
            </w:r>
            <w:r>
              <w:rPr>
                <w:rFonts w:hint="eastAsia"/>
              </w:rPr>
              <w:t>*</w:t>
            </w:r>
          </w:p>
        </w:tc>
        <w:tc>
          <w:tcPr>
            <w:tcW w:w="3616" w:type="dxa"/>
            <w:tcBorders>
              <w:bottom w:val="nil"/>
            </w:tcBorders>
            <w:vAlign w:val="center"/>
          </w:tcPr>
          <w:p>
            <w:pPr>
              <w:jc w:val="center"/>
            </w:pPr>
            <w:r>
              <w:t>4</w:t>
            </w:r>
            <w:r>
              <w:rPr>
                <w:rFonts w:hint="eastAsia"/>
              </w:rPr>
              <w:t>×10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67" w:hRule="atLeast"/>
          <w:jc w:val="center"/>
        </w:trPr>
        <w:tc>
          <w:tcPr>
            <w:tcW w:w="3267" w:type="dxa"/>
            <w:vMerge w:val="continue"/>
            <w:vAlign w:val="center"/>
          </w:tcPr>
          <w:p>
            <w:pPr>
              <w:jc w:val="center"/>
            </w:pPr>
          </w:p>
        </w:tc>
        <w:tc>
          <w:tcPr>
            <w:tcW w:w="1695" w:type="dxa"/>
            <w:tcBorders>
              <w:top w:val="nil"/>
              <w:bottom w:val="single" w:color="auto" w:sz="4" w:space="0"/>
            </w:tcBorders>
            <w:vAlign w:val="center"/>
          </w:tcPr>
          <w:p>
            <w:pPr>
              <w:jc w:val="center"/>
            </w:pPr>
            <w:r>
              <w:t>监督区</w:t>
            </w:r>
          </w:p>
        </w:tc>
        <w:tc>
          <w:tcPr>
            <w:tcW w:w="3616" w:type="dxa"/>
            <w:tcBorders>
              <w:top w:val="nil"/>
              <w:bottom w:val="single" w:color="auto" w:sz="4" w:space="0"/>
            </w:tcBorders>
            <w:vAlign w:val="center"/>
          </w:tcPr>
          <w:p>
            <w:pPr>
              <w:jc w:val="center"/>
            </w:pPr>
            <w:r>
              <w:t>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67" w:hRule="atLeast"/>
          <w:jc w:val="center"/>
        </w:trPr>
        <w:tc>
          <w:tcPr>
            <w:tcW w:w="3267" w:type="dxa"/>
            <w:vMerge w:val="restart"/>
            <w:vAlign w:val="center"/>
          </w:tcPr>
          <w:p>
            <w:pPr>
              <w:jc w:val="center"/>
            </w:pPr>
            <w:r>
              <w:t>工作服</w:t>
            </w:r>
            <w:r>
              <w:rPr>
                <w:rFonts w:hint="eastAsia"/>
              </w:rPr>
              <w:t>、</w:t>
            </w:r>
            <w:r>
              <w:t>手套</w:t>
            </w:r>
            <w:r>
              <w:rPr>
                <w:rFonts w:hint="eastAsia"/>
              </w:rPr>
              <w:t>、</w:t>
            </w:r>
            <w:r>
              <w:t>工作鞋</w:t>
            </w:r>
          </w:p>
        </w:tc>
        <w:tc>
          <w:tcPr>
            <w:tcW w:w="1695" w:type="dxa"/>
            <w:tcBorders>
              <w:bottom w:val="nil"/>
            </w:tcBorders>
            <w:vAlign w:val="center"/>
          </w:tcPr>
          <w:p>
            <w:pPr>
              <w:jc w:val="center"/>
            </w:pPr>
            <w:r>
              <w:t>控制区</w:t>
            </w:r>
          </w:p>
        </w:tc>
        <w:tc>
          <w:tcPr>
            <w:tcW w:w="3616" w:type="dxa"/>
            <w:tcBorders>
              <w:bottom w:val="nil"/>
            </w:tcBorders>
            <w:vAlign w:val="center"/>
          </w:tcPr>
          <w:p>
            <w:pPr>
              <w:jc w:val="center"/>
            </w:pPr>
            <w:r>
              <w:t>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67" w:hRule="atLeast"/>
          <w:jc w:val="center"/>
        </w:trPr>
        <w:tc>
          <w:tcPr>
            <w:tcW w:w="3267" w:type="dxa"/>
            <w:vMerge w:val="continue"/>
            <w:vAlign w:val="center"/>
          </w:tcPr>
          <w:p>
            <w:pPr>
              <w:jc w:val="center"/>
            </w:pPr>
          </w:p>
        </w:tc>
        <w:tc>
          <w:tcPr>
            <w:tcW w:w="1695" w:type="dxa"/>
            <w:tcBorders>
              <w:top w:val="nil"/>
            </w:tcBorders>
            <w:vAlign w:val="center"/>
          </w:tcPr>
          <w:p>
            <w:pPr>
              <w:jc w:val="center"/>
            </w:pPr>
            <w:r>
              <w:t>监督区</w:t>
            </w:r>
          </w:p>
        </w:tc>
        <w:tc>
          <w:tcPr>
            <w:tcW w:w="3616" w:type="dxa"/>
            <w:tcBorders>
              <w:top w:val="nil"/>
            </w:tcBorders>
            <w:vAlign w:val="center"/>
          </w:tcPr>
          <w:p>
            <w:pPr>
              <w:jc w:val="center"/>
            </w:pPr>
            <w:r>
              <w:rPr>
                <w:rFonts w:hint="eastAsia"/>
              </w:rPr>
              <w:t>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67" w:hRule="atLeast"/>
          <w:jc w:val="center"/>
        </w:trPr>
        <w:tc>
          <w:tcPr>
            <w:tcW w:w="4962" w:type="dxa"/>
            <w:gridSpan w:val="2"/>
            <w:tcBorders>
              <w:bottom w:val="single" w:color="auto" w:sz="4" w:space="0"/>
            </w:tcBorders>
            <w:vAlign w:val="center"/>
          </w:tcPr>
          <w:p>
            <w:pPr>
              <w:jc w:val="center"/>
            </w:pPr>
            <w:r>
              <w:rPr>
                <w:rFonts w:hint="eastAsia"/>
              </w:rPr>
              <w:t>手、皮肤、内衣、工作袜</w:t>
            </w:r>
          </w:p>
        </w:tc>
        <w:tc>
          <w:tcPr>
            <w:tcW w:w="3616" w:type="dxa"/>
            <w:tcBorders>
              <w:bottom w:val="single" w:color="auto" w:sz="4" w:space="0"/>
            </w:tcBorders>
            <w:vAlign w:val="center"/>
          </w:tcPr>
          <w:p>
            <w:pPr>
              <w:jc w:val="center"/>
            </w:pPr>
            <w:r>
              <w:t>4</w:t>
            </w:r>
            <w:r>
              <w:rPr>
                <w:rFonts w:hint="eastAsia"/>
              </w:rPr>
              <w:t>×10</w:t>
            </w:r>
            <w:r>
              <w:rPr>
                <w:rFonts w:hint="eastAsia"/>
                <w:vertAlign w:val="superscript"/>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67" w:hRule="atLeast"/>
          <w:jc w:val="center"/>
        </w:trPr>
        <w:tc>
          <w:tcPr>
            <w:tcW w:w="8578" w:type="dxa"/>
            <w:gridSpan w:val="3"/>
            <w:tcBorders>
              <w:bottom w:val="nil"/>
            </w:tcBorders>
            <w:vAlign w:val="center"/>
          </w:tcPr>
          <w:p>
            <w:r>
              <w:rPr>
                <w:rFonts w:hint="eastAsia"/>
              </w:rPr>
              <w:t>注：数据来自于GB 18871；*：该区内高污染子区除外。</w:t>
            </w:r>
          </w:p>
        </w:tc>
      </w:tr>
    </w:tbl>
    <w:p/>
    <w:p>
      <w:pPr>
        <w:outlineLvl w:val="2"/>
        <w:rPr>
          <w:kern w:val="0"/>
          <w:szCs w:val="21"/>
          <w:lang w:bidi="ar"/>
        </w:rPr>
      </w:pPr>
    </w:p>
    <w:p>
      <w:pPr>
        <w:pStyle w:val="34"/>
        <w:ind w:firstLine="0" w:firstLineChars="0"/>
        <w:rPr>
          <w:szCs w:val="22"/>
        </w:rPr>
      </w:pPr>
    </w:p>
    <w:p>
      <w:pPr>
        <w:pStyle w:val="34"/>
        <w:spacing w:before="640"/>
        <w:ind w:firstLine="0" w:firstLineChars="0"/>
        <w:jc w:val="center"/>
        <w:outlineLvl w:val="0"/>
        <w:rPr>
          <w:rFonts w:eastAsia="黑体"/>
          <w:szCs w:val="22"/>
        </w:rPr>
      </w:pPr>
    </w:p>
    <w:p>
      <w:pPr>
        <w:rPr>
          <w:rFonts w:eastAsia="黑体"/>
          <w:szCs w:val="22"/>
        </w:rPr>
      </w:pPr>
      <w:r>
        <w:rPr>
          <w:rFonts w:eastAsia="黑体"/>
          <w:szCs w:val="22"/>
        </w:rPr>
        <w:br w:type="page"/>
      </w:r>
    </w:p>
    <w:p>
      <w:pPr>
        <w:spacing w:before="312" w:beforeLines="100" w:after="312" w:afterLines="100" w:line="360" w:lineRule="auto"/>
        <w:jc w:val="center"/>
        <w:outlineLvl w:val="0"/>
        <w:rPr>
          <w:rFonts w:eastAsia="黑体"/>
          <w:spacing w:val="-7"/>
          <w:szCs w:val="21"/>
        </w:rPr>
      </w:pPr>
      <w:bookmarkStart w:id="47" w:name="_Toc3695"/>
      <w:r>
        <w:rPr>
          <w:rFonts w:eastAsia="黑体"/>
          <w:spacing w:val="-7"/>
          <w:szCs w:val="21"/>
        </w:rPr>
        <w:t>参考文献</w:t>
      </w:r>
      <w:bookmarkEnd w:id="47"/>
    </w:p>
    <w:p>
      <w:pPr>
        <w:rPr>
          <w:kern w:val="0"/>
          <w:szCs w:val="21"/>
          <w:lang w:bidi="ar"/>
        </w:rPr>
      </w:pPr>
      <w:r>
        <w:rPr>
          <w:spacing w:val="-7"/>
          <w:szCs w:val="21"/>
        </w:rPr>
        <w:t>[1]</w:t>
      </w:r>
      <w:r>
        <w:rPr>
          <w:szCs w:val="21"/>
        </w:rPr>
        <w:t xml:space="preserve">  </w:t>
      </w:r>
      <w:r>
        <w:rPr>
          <w:rFonts w:hint="eastAsia"/>
          <w:kern w:val="0"/>
          <w:szCs w:val="21"/>
          <w:lang w:bidi="ar"/>
        </w:rPr>
        <w:t>《电离辐射防护与辐射源安全基本标准》（GB 18871）</w:t>
      </w:r>
    </w:p>
    <w:p>
      <w:pPr>
        <w:outlineLvl w:val="2"/>
        <w:rPr>
          <w:kern w:val="0"/>
          <w:szCs w:val="21"/>
          <w:lang w:bidi="ar"/>
        </w:rPr>
      </w:pPr>
      <w:r>
        <w:rPr>
          <w:rFonts w:hint="eastAsia"/>
          <w:kern w:val="0"/>
          <w:szCs w:val="21"/>
          <w:lang w:bidi="ar"/>
        </w:rPr>
        <w:t>[2]</w:t>
      </w:r>
      <w:r>
        <w:rPr>
          <w:rFonts w:hint="eastAsia"/>
          <w:kern w:val="0"/>
          <w:szCs w:val="21"/>
          <w:lang w:bidi="ar"/>
        </w:rPr>
        <w:tab/>
      </w:r>
      <w:r>
        <w:rPr>
          <w:rFonts w:hint="eastAsia"/>
          <w:kern w:val="0"/>
          <w:szCs w:val="21"/>
          <w:lang w:bidi="ar"/>
        </w:rPr>
        <w:t>《核医学辐射防护与安全要求》（HJ 1188）</w:t>
      </w:r>
    </w:p>
    <w:p>
      <w:pPr>
        <w:outlineLvl w:val="2"/>
        <w:rPr>
          <w:kern w:val="0"/>
          <w:szCs w:val="21"/>
          <w:lang w:bidi="ar"/>
        </w:rPr>
      </w:pPr>
      <w:r>
        <w:rPr>
          <w:rFonts w:hint="eastAsia"/>
          <w:kern w:val="0"/>
          <w:szCs w:val="21"/>
          <w:lang w:bidi="ar"/>
        </w:rPr>
        <w:t>[3]</w:t>
      </w:r>
      <w:r>
        <w:rPr>
          <w:rFonts w:hint="eastAsia"/>
          <w:kern w:val="0"/>
          <w:szCs w:val="21"/>
          <w:lang w:bidi="ar"/>
        </w:rPr>
        <w:tab/>
      </w:r>
      <w:r>
        <w:rPr>
          <w:rFonts w:hint="eastAsia"/>
          <w:kern w:val="0"/>
          <w:szCs w:val="21"/>
          <w:lang w:bidi="ar"/>
        </w:rPr>
        <w:t>《核医学放射防护要求》（GBZ 120）</w:t>
      </w:r>
    </w:p>
    <w:p>
      <w:pPr>
        <w:outlineLvl w:val="2"/>
        <w:rPr>
          <w:kern w:val="0"/>
          <w:szCs w:val="21"/>
          <w:lang w:bidi="ar"/>
        </w:rPr>
      </w:pPr>
      <w:r>
        <w:rPr>
          <w:rFonts w:hint="eastAsia"/>
          <w:kern w:val="0"/>
          <w:szCs w:val="21"/>
          <w:lang w:bidi="ar"/>
        </w:rPr>
        <w:t>[4]</w:t>
      </w:r>
      <w:r>
        <w:rPr>
          <w:rFonts w:hint="eastAsia"/>
          <w:kern w:val="0"/>
          <w:szCs w:val="21"/>
          <w:lang w:bidi="ar"/>
        </w:rPr>
        <w:tab/>
      </w:r>
      <w:r>
        <w:rPr>
          <w:rFonts w:hint="eastAsia"/>
          <w:kern w:val="0"/>
          <w:szCs w:val="21"/>
          <w:lang w:bidi="ar"/>
        </w:rPr>
        <w:t>《放射诊断放射防护要求》（GBZ 130）</w:t>
      </w:r>
    </w:p>
    <w:p>
      <w:pPr>
        <w:outlineLvl w:val="2"/>
        <w:rPr>
          <w:kern w:val="0"/>
          <w:szCs w:val="21"/>
          <w:lang w:bidi="ar"/>
        </w:rPr>
      </w:pPr>
      <w:r>
        <w:rPr>
          <w:rFonts w:hint="eastAsia"/>
          <w:kern w:val="0"/>
          <w:szCs w:val="21"/>
          <w:lang w:bidi="ar"/>
        </w:rPr>
        <w:t>[5]</w:t>
      </w:r>
      <w:r>
        <w:rPr>
          <w:rFonts w:hint="eastAsia"/>
          <w:kern w:val="0"/>
          <w:szCs w:val="21"/>
          <w:lang w:bidi="ar"/>
        </w:rPr>
        <w:tab/>
      </w:r>
      <w:r>
        <w:rPr>
          <w:rFonts w:hint="eastAsia"/>
          <w:kern w:val="0"/>
          <w:szCs w:val="21"/>
          <w:lang w:bidi="ar"/>
        </w:rPr>
        <w:t>《</w:t>
      </w:r>
      <w:bookmarkStart w:id="48" w:name="OLE_LINK2"/>
      <w:r>
        <w:rPr>
          <w:rFonts w:hint="eastAsia"/>
          <w:kern w:val="0"/>
          <w:szCs w:val="21"/>
          <w:lang w:bidi="ar"/>
        </w:rPr>
        <w:t>钇-90 树脂微球使用过程辐射安全风险研究报告</w:t>
      </w:r>
      <w:bookmarkEnd w:id="48"/>
      <w:r>
        <w:rPr>
          <w:rFonts w:hint="eastAsia"/>
          <w:kern w:val="0"/>
          <w:szCs w:val="21"/>
          <w:lang w:bidi="ar"/>
        </w:rPr>
        <w:t>》（生态环境部核与辐射安全中心</w:t>
      </w:r>
      <w:r>
        <w:rPr>
          <w:kern w:val="0"/>
          <w:szCs w:val="21"/>
          <w:lang w:bidi="ar"/>
        </w:rPr>
        <w:t xml:space="preserve">, </w:t>
      </w:r>
      <w:r>
        <w:rPr>
          <w:rFonts w:hint="eastAsia"/>
          <w:kern w:val="0"/>
          <w:szCs w:val="21"/>
          <w:lang w:bidi="ar"/>
        </w:rPr>
        <w:t>2021年8月23日）</w:t>
      </w:r>
      <w:bookmarkEnd w:id="17"/>
      <w:bookmarkEnd w:id="18"/>
    </w:p>
    <w:p>
      <w:pPr>
        <w:pStyle w:val="45"/>
      </w:pPr>
      <w:r>
        <w:rPr>
          <w:rFonts w:hint="eastAsia"/>
        </w:rPr>
        <w:t>_________________________________</w:t>
      </w:r>
    </w:p>
    <w:p>
      <w:pPr>
        <w:spacing w:line="360" w:lineRule="auto"/>
        <w:rPr>
          <w:spacing w:val="-7"/>
          <w:szCs w:val="21"/>
        </w:rPr>
      </w:pPr>
    </w:p>
    <w:p>
      <w:pPr>
        <w:outlineLvl w:val="2"/>
        <w:rPr>
          <w:kern w:val="0"/>
          <w:szCs w:val="21"/>
          <w:lang w:bidi="ar"/>
        </w:rPr>
      </w:pPr>
    </w:p>
    <w:sectPr>
      <w:type w:val="continuous"/>
      <w:pgSz w:w="11906" w:h="16838"/>
      <w:pgMar w:top="1587" w:right="1474" w:bottom="147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6781288"/>
    </w:sdtPr>
    <w:sdtContent>
      <w:p>
        <w:pPr>
          <w:pStyle w:val="14"/>
          <w:jc w:val="right"/>
        </w:pP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83688321"/>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583688321"/>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22E42B3"/>
    <w:multiLevelType w:val="multilevel"/>
    <w:tmpl w:val="322E42B3"/>
    <w:lvl w:ilvl="0" w:tentative="0">
      <w:start w:val="1"/>
      <w:numFmt w:val="decimal"/>
      <w:lvlText w:val="%1"/>
      <w:lvlJc w:val="left"/>
      <w:pPr>
        <w:ind w:left="425" w:hanging="425"/>
      </w:pPr>
      <w:rPr>
        <w:rFonts w:hint="eastAsia" w:ascii="黑体" w:hAnsi="黑体" w:eastAsia="黑体"/>
      </w:rPr>
    </w:lvl>
    <w:lvl w:ilvl="1" w:tentative="0">
      <w:start w:val="1"/>
      <w:numFmt w:val="decimal"/>
      <w:lvlText w:val="%1.%2"/>
      <w:lvlJc w:val="left"/>
      <w:pPr>
        <w:ind w:left="992" w:hanging="567"/>
      </w:pPr>
      <w:rPr>
        <w:rFonts w:ascii="黑体" w:hAnsi="黑体" w:eastAsia="黑体"/>
      </w:rPr>
    </w:lvl>
    <w:lvl w:ilvl="2" w:tentative="0">
      <w:start w:val="1"/>
      <w:numFmt w:val="decimal"/>
      <w:lvlText w:val="%1.%2.%3"/>
      <w:lvlJc w:val="left"/>
      <w:pPr>
        <w:ind w:left="1418" w:hanging="567"/>
      </w:pPr>
      <w:rPr>
        <w:rFonts w:hint="default" w:ascii="黑体" w:hAnsi="黑体" w:eastAsia="黑体"/>
        <w:b w:val="0"/>
        <w:bCs w:val="0"/>
      </w:rPr>
    </w:lvl>
    <w:lvl w:ilvl="3" w:tentative="0">
      <w:start w:val="1"/>
      <w:numFmt w:val="decimal"/>
      <w:lvlText w:val="%1.%2.%3.%4"/>
      <w:lvlJc w:val="left"/>
      <w:pPr>
        <w:ind w:left="1984" w:hanging="708"/>
      </w:pPr>
      <w:rPr>
        <w:rFonts w:hint="default" w:ascii="黑体" w:hAnsi="黑体" w:eastAsia="黑体"/>
        <w:b w:val="0"/>
        <w:bCs w:val="0"/>
        <w:highlight w:val="none"/>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60B55DC2"/>
    <w:multiLevelType w:val="multilevel"/>
    <w:tmpl w:val="60B55DC2"/>
    <w:lvl w:ilvl="0" w:tentative="0">
      <w:start w:val="1"/>
      <w:numFmt w:val="upperLetter"/>
      <w:pStyle w:val="49"/>
      <w:lvlText w:val="%1"/>
      <w:lvlJc w:val="left"/>
      <w:pPr>
        <w:tabs>
          <w:tab w:val="left" w:pos="0"/>
        </w:tabs>
        <w:ind w:left="0" w:hanging="425"/>
      </w:pPr>
      <w:rPr>
        <w:rFonts w:hint="eastAsia"/>
      </w:rPr>
    </w:lvl>
    <w:lvl w:ilvl="1" w:tentative="0">
      <w:start w:val="1"/>
      <w:numFmt w:val="decimal"/>
      <w:pStyle w:val="4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3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NGI1YmI4YTkyMmJkODA5YjhmYWQ3NDllYmFlZmYifQ=="/>
  </w:docVars>
  <w:rsids>
    <w:rsidRoot w:val="005219F4"/>
    <w:rsid w:val="00024028"/>
    <w:rsid w:val="000249EF"/>
    <w:rsid w:val="000323D8"/>
    <w:rsid w:val="0004025C"/>
    <w:rsid w:val="0005442E"/>
    <w:rsid w:val="00060C3B"/>
    <w:rsid w:val="000664D4"/>
    <w:rsid w:val="000735A4"/>
    <w:rsid w:val="00090C16"/>
    <w:rsid w:val="00093CE9"/>
    <w:rsid w:val="00096422"/>
    <w:rsid w:val="000A6E98"/>
    <w:rsid w:val="000C63DE"/>
    <w:rsid w:val="000E0232"/>
    <w:rsid w:val="000E0355"/>
    <w:rsid w:val="000F2B12"/>
    <w:rsid w:val="000F36D9"/>
    <w:rsid w:val="000F7EDF"/>
    <w:rsid w:val="00111069"/>
    <w:rsid w:val="001174CB"/>
    <w:rsid w:val="001263F2"/>
    <w:rsid w:val="001321BC"/>
    <w:rsid w:val="00134D13"/>
    <w:rsid w:val="00137DD9"/>
    <w:rsid w:val="00142B74"/>
    <w:rsid w:val="001440C7"/>
    <w:rsid w:val="00144FC2"/>
    <w:rsid w:val="0015076E"/>
    <w:rsid w:val="0015201D"/>
    <w:rsid w:val="00171255"/>
    <w:rsid w:val="00192DCB"/>
    <w:rsid w:val="001B02E0"/>
    <w:rsid w:val="001C281D"/>
    <w:rsid w:val="001C3709"/>
    <w:rsid w:val="001D36C3"/>
    <w:rsid w:val="001E6304"/>
    <w:rsid w:val="0021376C"/>
    <w:rsid w:val="00225496"/>
    <w:rsid w:val="0022609D"/>
    <w:rsid w:val="00230028"/>
    <w:rsid w:val="002505B1"/>
    <w:rsid w:val="00261EA9"/>
    <w:rsid w:val="00263E32"/>
    <w:rsid w:val="00280236"/>
    <w:rsid w:val="00280D67"/>
    <w:rsid w:val="00282374"/>
    <w:rsid w:val="00283F49"/>
    <w:rsid w:val="0029796C"/>
    <w:rsid w:val="00297DB8"/>
    <w:rsid w:val="002A5248"/>
    <w:rsid w:val="002B167E"/>
    <w:rsid w:val="002C27F5"/>
    <w:rsid w:val="002E43FC"/>
    <w:rsid w:val="002E4847"/>
    <w:rsid w:val="002F05EA"/>
    <w:rsid w:val="002F4A1A"/>
    <w:rsid w:val="002F5BF9"/>
    <w:rsid w:val="00311412"/>
    <w:rsid w:val="00314D68"/>
    <w:rsid w:val="00316D43"/>
    <w:rsid w:val="00326B2D"/>
    <w:rsid w:val="00331763"/>
    <w:rsid w:val="003414CC"/>
    <w:rsid w:val="003434A7"/>
    <w:rsid w:val="00345C28"/>
    <w:rsid w:val="003501E8"/>
    <w:rsid w:val="00356ABA"/>
    <w:rsid w:val="00362006"/>
    <w:rsid w:val="0036613F"/>
    <w:rsid w:val="00380E3A"/>
    <w:rsid w:val="003A2BE4"/>
    <w:rsid w:val="003A54B3"/>
    <w:rsid w:val="00423BE4"/>
    <w:rsid w:val="00436BD7"/>
    <w:rsid w:val="00441441"/>
    <w:rsid w:val="004627D4"/>
    <w:rsid w:val="0048288D"/>
    <w:rsid w:val="00490D70"/>
    <w:rsid w:val="00492177"/>
    <w:rsid w:val="00497191"/>
    <w:rsid w:val="004A6D4E"/>
    <w:rsid w:val="004E00B8"/>
    <w:rsid w:val="005169C3"/>
    <w:rsid w:val="005219F4"/>
    <w:rsid w:val="00543175"/>
    <w:rsid w:val="00543291"/>
    <w:rsid w:val="005521A2"/>
    <w:rsid w:val="00562960"/>
    <w:rsid w:val="005705F7"/>
    <w:rsid w:val="00577034"/>
    <w:rsid w:val="00580DC2"/>
    <w:rsid w:val="00582182"/>
    <w:rsid w:val="00596D3D"/>
    <w:rsid w:val="005B2B93"/>
    <w:rsid w:val="005D3EA8"/>
    <w:rsid w:val="005D42FE"/>
    <w:rsid w:val="005F5DBC"/>
    <w:rsid w:val="005F621E"/>
    <w:rsid w:val="00611662"/>
    <w:rsid w:val="00620760"/>
    <w:rsid w:val="00621176"/>
    <w:rsid w:val="00621230"/>
    <w:rsid w:val="00636C44"/>
    <w:rsid w:val="0064610A"/>
    <w:rsid w:val="00655ED7"/>
    <w:rsid w:val="0066403C"/>
    <w:rsid w:val="00666183"/>
    <w:rsid w:val="00697854"/>
    <w:rsid w:val="006A069B"/>
    <w:rsid w:val="006C72FC"/>
    <w:rsid w:val="006C7E74"/>
    <w:rsid w:val="006D1C2B"/>
    <w:rsid w:val="006D5591"/>
    <w:rsid w:val="006D7BE0"/>
    <w:rsid w:val="006F0CF4"/>
    <w:rsid w:val="0070310A"/>
    <w:rsid w:val="00732C58"/>
    <w:rsid w:val="007525A1"/>
    <w:rsid w:val="00760EBD"/>
    <w:rsid w:val="00766C18"/>
    <w:rsid w:val="00773993"/>
    <w:rsid w:val="00784980"/>
    <w:rsid w:val="00794891"/>
    <w:rsid w:val="007A7A9F"/>
    <w:rsid w:val="007B054E"/>
    <w:rsid w:val="007B60D5"/>
    <w:rsid w:val="007C4C3C"/>
    <w:rsid w:val="007C6E89"/>
    <w:rsid w:val="007C75A5"/>
    <w:rsid w:val="007E06EF"/>
    <w:rsid w:val="007E4EDE"/>
    <w:rsid w:val="007E5CBC"/>
    <w:rsid w:val="008076CB"/>
    <w:rsid w:val="008201D5"/>
    <w:rsid w:val="00823B4E"/>
    <w:rsid w:val="008403B6"/>
    <w:rsid w:val="00844373"/>
    <w:rsid w:val="00872362"/>
    <w:rsid w:val="008875D9"/>
    <w:rsid w:val="008A266E"/>
    <w:rsid w:val="008B01E0"/>
    <w:rsid w:val="008C1EA5"/>
    <w:rsid w:val="008C3A50"/>
    <w:rsid w:val="008D37E8"/>
    <w:rsid w:val="008D73F1"/>
    <w:rsid w:val="0090296F"/>
    <w:rsid w:val="0090392C"/>
    <w:rsid w:val="009123A7"/>
    <w:rsid w:val="00916027"/>
    <w:rsid w:val="009335B2"/>
    <w:rsid w:val="00942373"/>
    <w:rsid w:val="009715DF"/>
    <w:rsid w:val="00976B09"/>
    <w:rsid w:val="00992833"/>
    <w:rsid w:val="009C0A8F"/>
    <w:rsid w:val="009C360D"/>
    <w:rsid w:val="009D164D"/>
    <w:rsid w:val="009D61BB"/>
    <w:rsid w:val="00A00828"/>
    <w:rsid w:val="00A209D2"/>
    <w:rsid w:val="00A227B9"/>
    <w:rsid w:val="00A51B6D"/>
    <w:rsid w:val="00A70ACE"/>
    <w:rsid w:val="00A71387"/>
    <w:rsid w:val="00A7341C"/>
    <w:rsid w:val="00A7508F"/>
    <w:rsid w:val="00A759AF"/>
    <w:rsid w:val="00A85206"/>
    <w:rsid w:val="00A86B6A"/>
    <w:rsid w:val="00A95766"/>
    <w:rsid w:val="00AA6FC6"/>
    <w:rsid w:val="00AB137E"/>
    <w:rsid w:val="00AC4900"/>
    <w:rsid w:val="00B13248"/>
    <w:rsid w:val="00B278A7"/>
    <w:rsid w:val="00B5643C"/>
    <w:rsid w:val="00B74584"/>
    <w:rsid w:val="00BD2870"/>
    <w:rsid w:val="00BD3DF4"/>
    <w:rsid w:val="00BE319F"/>
    <w:rsid w:val="00BF51AE"/>
    <w:rsid w:val="00BF6A76"/>
    <w:rsid w:val="00C14850"/>
    <w:rsid w:val="00C268C5"/>
    <w:rsid w:val="00C268D0"/>
    <w:rsid w:val="00C45978"/>
    <w:rsid w:val="00C5618F"/>
    <w:rsid w:val="00C61120"/>
    <w:rsid w:val="00C7117D"/>
    <w:rsid w:val="00C7759A"/>
    <w:rsid w:val="00C77CC1"/>
    <w:rsid w:val="00C8008E"/>
    <w:rsid w:val="00CB251B"/>
    <w:rsid w:val="00CB3C67"/>
    <w:rsid w:val="00CC3860"/>
    <w:rsid w:val="00CD214B"/>
    <w:rsid w:val="00D0216E"/>
    <w:rsid w:val="00D10E5D"/>
    <w:rsid w:val="00D165FC"/>
    <w:rsid w:val="00D41A51"/>
    <w:rsid w:val="00D50992"/>
    <w:rsid w:val="00D858DA"/>
    <w:rsid w:val="00DA72DE"/>
    <w:rsid w:val="00DC7A21"/>
    <w:rsid w:val="00DD1590"/>
    <w:rsid w:val="00DD1A5A"/>
    <w:rsid w:val="00DE61B8"/>
    <w:rsid w:val="00E0150B"/>
    <w:rsid w:val="00E074B7"/>
    <w:rsid w:val="00E10CC8"/>
    <w:rsid w:val="00E11BC2"/>
    <w:rsid w:val="00E13ED7"/>
    <w:rsid w:val="00E24D46"/>
    <w:rsid w:val="00E33514"/>
    <w:rsid w:val="00E40BC2"/>
    <w:rsid w:val="00E420EA"/>
    <w:rsid w:val="00E43EA8"/>
    <w:rsid w:val="00E47C13"/>
    <w:rsid w:val="00E5240B"/>
    <w:rsid w:val="00E5275A"/>
    <w:rsid w:val="00E5689F"/>
    <w:rsid w:val="00EA13AA"/>
    <w:rsid w:val="00EA65C2"/>
    <w:rsid w:val="00EB7C63"/>
    <w:rsid w:val="00F01983"/>
    <w:rsid w:val="00F16225"/>
    <w:rsid w:val="00F417FD"/>
    <w:rsid w:val="00F56582"/>
    <w:rsid w:val="00F80563"/>
    <w:rsid w:val="00F808FC"/>
    <w:rsid w:val="00F979C6"/>
    <w:rsid w:val="00FA0984"/>
    <w:rsid w:val="00FC6472"/>
    <w:rsid w:val="00FE05E4"/>
    <w:rsid w:val="00FE6B89"/>
    <w:rsid w:val="012713F4"/>
    <w:rsid w:val="018300B3"/>
    <w:rsid w:val="0189574E"/>
    <w:rsid w:val="019820A5"/>
    <w:rsid w:val="019F6AB7"/>
    <w:rsid w:val="01B627EE"/>
    <w:rsid w:val="02110964"/>
    <w:rsid w:val="021A10E2"/>
    <w:rsid w:val="021E3ED0"/>
    <w:rsid w:val="02421FE9"/>
    <w:rsid w:val="02592DCC"/>
    <w:rsid w:val="02D575AD"/>
    <w:rsid w:val="02D82D57"/>
    <w:rsid w:val="02F20706"/>
    <w:rsid w:val="030B131F"/>
    <w:rsid w:val="03201CCC"/>
    <w:rsid w:val="032A6FC0"/>
    <w:rsid w:val="03393295"/>
    <w:rsid w:val="03933468"/>
    <w:rsid w:val="03AC2266"/>
    <w:rsid w:val="03BF4937"/>
    <w:rsid w:val="03CC1573"/>
    <w:rsid w:val="03F820DA"/>
    <w:rsid w:val="04216A64"/>
    <w:rsid w:val="042630E8"/>
    <w:rsid w:val="043A08C3"/>
    <w:rsid w:val="043F0023"/>
    <w:rsid w:val="045877AA"/>
    <w:rsid w:val="045B262C"/>
    <w:rsid w:val="04844F3D"/>
    <w:rsid w:val="049D7204"/>
    <w:rsid w:val="049F46D9"/>
    <w:rsid w:val="04BC7D28"/>
    <w:rsid w:val="051C5B07"/>
    <w:rsid w:val="051E01CE"/>
    <w:rsid w:val="052834F8"/>
    <w:rsid w:val="054519E5"/>
    <w:rsid w:val="0553203F"/>
    <w:rsid w:val="055478FB"/>
    <w:rsid w:val="05B30339"/>
    <w:rsid w:val="05DA0F66"/>
    <w:rsid w:val="0608761E"/>
    <w:rsid w:val="0618111B"/>
    <w:rsid w:val="062233DA"/>
    <w:rsid w:val="064E17C3"/>
    <w:rsid w:val="06597787"/>
    <w:rsid w:val="06736615"/>
    <w:rsid w:val="06A450F4"/>
    <w:rsid w:val="06C81BAB"/>
    <w:rsid w:val="06CC5E0B"/>
    <w:rsid w:val="06EC749F"/>
    <w:rsid w:val="06F5752D"/>
    <w:rsid w:val="071653C1"/>
    <w:rsid w:val="07750595"/>
    <w:rsid w:val="07B70B3E"/>
    <w:rsid w:val="080A25EE"/>
    <w:rsid w:val="08487921"/>
    <w:rsid w:val="08836FC4"/>
    <w:rsid w:val="08CB6070"/>
    <w:rsid w:val="08F1305D"/>
    <w:rsid w:val="090B3EB1"/>
    <w:rsid w:val="094F2AF4"/>
    <w:rsid w:val="097C6932"/>
    <w:rsid w:val="099874CB"/>
    <w:rsid w:val="09B648F2"/>
    <w:rsid w:val="09F373E3"/>
    <w:rsid w:val="09FD6AFB"/>
    <w:rsid w:val="0A087684"/>
    <w:rsid w:val="0A167282"/>
    <w:rsid w:val="0A7F383F"/>
    <w:rsid w:val="0AE64123"/>
    <w:rsid w:val="0AED3D3E"/>
    <w:rsid w:val="0B053C33"/>
    <w:rsid w:val="0B0B1B65"/>
    <w:rsid w:val="0B212332"/>
    <w:rsid w:val="0B2211FE"/>
    <w:rsid w:val="0BB717B6"/>
    <w:rsid w:val="0BDB5ED0"/>
    <w:rsid w:val="0C3A148D"/>
    <w:rsid w:val="0C3D10A6"/>
    <w:rsid w:val="0C533B81"/>
    <w:rsid w:val="0C730345"/>
    <w:rsid w:val="0C794FFD"/>
    <w:rsid w:val="0CA460E6"/>
    <w:rsid w:val="0CB16402"/>
    <w:rsid w:val="0CB644F0"/>
    <w:rsid w:val="0CC01718"/>
    <w:rsid w:val="0CC735F5"/>
    <w:rsid w:val="0CCB2BB7"/>
    <w:rsid w:val="0CCB6A93"/>
    <w:rsid w:val="0D5A1E14"/>
    <w:rsid w:val="0D892C8F"/>
    <w:rsid w:val="0DBA6D5C"/>
    <w:rsid w:val="0DC61426"/>
    <w:rsid w:val="0DE666D6"/>
    <w:rsid w:val="0DEA3380"/>
    <w:rsid w:val="0E135C3F"/>
    <w:rsid w:val="0E5E3818"/>
    <w:rsid w:val="0E5F13EC"/>
    <w:rsid w:val="0E78662F"/>
    <w:rsid w:val="0EA7186A"/>
    <w:rsid w:val="0EAD27CE"/>
    <w:rsid w:val="0ED15C09"/>
    <w:rsid w:val="0ED56E4C"/>
    <w:rsid w:val="0F006A88"/>
    <w:rsid w:val="0F1B6759"/>
    <w:rsid w:val="0F357AA7"/>
    <w:rsid w:val="0F660C70"/>
    <w:rsid w:val="0FAD01F9"/>
    <w:rsid w:val="0FF32680"/>
    <w:rsid w:val="10864E7A"/>
    <w:rsid w:val="10E65AD0"/>
    <w:rsid w:val="11270471"/>
    <w:rsid w:val="119C2693"/>
    <w:rsid w:val="11A973C9"/>
    <w:rsid w:val="11EE692F"/>
    <w:rsid w:val="1272367D"/>
    <w:rsid w:val="129D2871"/>
    <w:rsid w:val="12E050D7"/>
    <w:rsid w:val="12EF571B"/>
    <w:rsid w:val="13270D81"/>
    <w:rsid w:val="13705B58"/>
    <w:rsid w:val="13B9546D"/>
    <w:rsid w:val="13BB1914"/>
    <w:rsid w:val="14035BEB"/>
    <w:rsid w:val="140C7E49"/>
    <w:rsid w:val="14415A92"/>
    <w:rsid w:val="14A01F8B"/>
    <w:rsid w:val="14A30D66"/>
    <w:rsid w:val="14B01A4F"/>
    <w:rsid w:val="14F13DA1"/>
    <w:rsid w:val="14FB6892"/>
    <w:rsid w:val="14FD32F1"/>
    <w:rsid w:val="1537341D"/>
    <w:rsid w:val="154F4DB5"/>
    <w:rsid w:val="15652FE2"/>
    <w:rsid w:val="157D564A"/>
    <w:rsid w:val="15910A4B"/>
    <w:rsid w:val="15A03254"/>
    <w:rsid w:val="15BF0508"/>
    <w:rsid w:val="15C3039A"/>
    <w:rsid w:val="15EF43B1"/>
    <w:rsid w:val="15F545D4"/>
    <w:rsid w:val="15FA4044"/>
    <w:rsid w:val="15FF7AA0"/>
    <w:rsid w:val="16037DD2"/>
    <w:rsid w:val="16162F56"/>
    <w:rsid w:val="167E5349"/>
    <w:rsid w:val="169779B4"/>
    <w:rsid w:val="1721058E"/>
    <w:rsid w:val="18237130"/>
    <w:rsid w:val="18E65068"/>
    <w:rsid w:val="194327B6"/>
    <w:rsid w:val="199A7E92"/>
    <w:rsid w:val="19F83334"/>
    <w:rsid w:val="1A3A5AA0"/>
    <w:rsid w:val="1A3C6065"/>
    <w:rsid w:val="1A7C34A1"/>
    <w:rsid w:val="1A80679A"/>
    <w:rsid w:val="1A8C37DE"/>
    <w:rsid w:val="1A8E52E7"/>
    <w:rsid w:val="1A915B74"/>
    <w:rsid w:val="1AF729A8"/>
    <w:rsid w:val="1B455613"/>
    <w:rsid w:val="1B4E7A8D"/>
    <w:rsid w:val="1B737239"/>
    <w:rsid w:val="1B891DCC"/>
    <w:rsid w:val="1B8F273C"/>
    <w:rsid w:val="1BA11684"/>
    <w:rsid w:val="1BB84532"/>
    <w:rsid w:val="1BBE7D04"/>
    <w:rsid w:val="1BC37E87"/>
    <w:rsid w:val="1BCE0C02"/>
    <w:rsid w:val="1C395F13"/>
    <w:rsid w:val="1C5739B0"/>
    <w:rsid w:val="1C725A33"/>
    <w:rsid w:val="1C7C6A0D"/>
    <w:rsid w:val="1C901721"/>
    <w:rsid w:val="1C96321F"/>
    <w:rsid w:val="1C9B392D"/>
    <w:rsid w:val="1CEA3B9F"/>
    <w:rsid w:val="1D240899"/>
    <w:rsid w:val="1D2A0EE3"/>
    <w:rsid w:val="1DB63E87"/>
    <w:rsid w:val="1DCE4F08"/>
    <w:rsid w:val="1DD22CAF"/>
    <w:rsid w:val="1DDB7BF4"/>
    <w:rsid w:val="1E374D92"/>
    <w:rsid w:val="1E7549FE"/>
    <w:rsid w:val="1E982016"/>
    <w:rsid w:val="1EEE69D7"/>
    <w:rsid w:val="1EF866D8"/>
    <w:rsid w:val="1F236FB8"/>
    <w:rsid w:val="1F284035"/>
    <w:rsid w:val="1F3A2ABA"/>
    <w:rsid w:val="1F7D0408"/>
    <w:rsid w:val="1F88613B"/>
    <w:rsid w:val="1F9130B2"/>
    <w:rsid w:val="1FC26733"/>
    <w:rsid w:val="1FEB6215"/>
    <w:rsid w:val="202A6735"/>
    <w:rsid w:val="203F01F1"/>
    <w:rsid w:val="20414385"/>
    <w:rsid w:val="20471752"/>
    <w:rsid w:val="20B31FDA"/>
    <w:rsid w:val="20D554EE"/>
    <w:rsid w:val="20F36767"/>
    <w:rsid w:val="21216C56"/>
    <w:rsid w:val="2122698E"/>
    <w:rsid w:val="216860B7"/>
    <w:rsid w:val="21783E66"/>
    <w:rsid w:val="21880522"/>
    <w:rsid w:val="21B65FBE"/>
    <w:rsid w:val="21DD0B84"/>
    <w:rsid w:val="21E60B0B"/>
    <w:rsid w:val="229C036A"/>
    <w:rsid w:val="230763CA"/>
    <w:rsid w:val="23107133"/>
    <w:rsid w:val="231C50BB"/>
    <w:rsid w:val="23552D70"/>
    <w:rsid w:val="23571F6F"/>
    <w:rsid w:val="238260B0"/>
    <w:rsid w:val="23932AED"/>
    <w:rsid w:val="23D12036"/>
    <w:rsid w:val="24126499"/>
    <w:rsid w:val="2429319C"/>
    <w:rsid w:val="24562E65"/>
    <w:rsid w:val="2459309F"/>
    <w:rsid w:val="24714A72"/>
    <w:rsid w:val="24717DC9"/>
    <w:rsid w:val="2474153E"/>
    <w:rsid w:val="24A2073C"/>
    <w:rsid w:val="24EB423E"/>
    <w:rsid w:val="25297159"/>
    <w:rsid w:val="25377E6F"/>
    <w:rsid w:val="25846337"/>
    <w:rsid w:val="25893E1F"/>
    <w:rsid w:val="25930FCE"/>
    <w:rsid w:val="259A6AD7"/>
    <w:rsid w:val="25E11273"/>
    <w:rsid w:val="2610729D"/>
    <w:rsid w:val="266F6898"/>
    <w:rsid w:val="269228E7"/>
    <w:rsid w:val="26F9198F"/>
    <w:rsid w:val="27141695"/>
    <w:rsid w:val="27940877"/>
    <w:rsid w:val="27B2261B"/>
    <w:rsid w:val="27BE0350"/>
    <w:rsid w:val="28013840"/>
    <w:rsid w:val="282D2AC7"/>
    <w:rsid w:val="285060FE"/>
    <w:rsid w:val="28737D56"/>
    <w:rsid w:val="28E32972"/>
    <w:rsid w:val="28F476BD"/>
    <w:rsid w:val="28FC67BB"/>
    <w:rsid w:val="291F1BBA"/>
    <w:rsid w:val="296950C9"/>
    <w:rsid w:val="299D4DD1"/>
    <w:rsid w:val="29D03911"/>
    <w:rsid w:val="29DB5E06"/>
    <w:rsid w:val="29EE67DD"/>
    <w:rsid w:val="2A1A792B"/>
    <w:rsid w:val="2A3C5CEE"/>
    <w:rsid w:val="2A7704AC"/>
    <w:rsid w:val="2A9A3C1B"/>
    <w:rsid w:val="2AC66461"/>
    <w:rsid w:val="2ACA5357"/>
    <w:rsid w:val="2AF1431D"/>
    <w:rsid w:val="2AF35406"/>
    <w:rsid w:val="2B6B3FBC"/>
    <w:rsid w:val="2B892C79"/>
    <w:rsid w:val="2B953D45"/>
    <w:rsid w:val="2BFD686E"/>
    <w:rsid w:val="2C151717"/>
    <w:rsid w:val="2C1A7C91"/>
    <w:rsid w:val="2C3265D7"/>
    <w:rsid w:val="2C4E072E"/>
    <w:rsid w:val="2C516C57"/>
    <w:rsid w:val="2C6E0BC8"/>
    <w:rsid w:val="2C782782"/>
    <w:rsid w:val="2CBF10C7"/>
    <w:rsid w:val="2CC033B6"/>
    <w:rsid w:val="2CD06965"/>
    <w:rsid w:val="2CFC37B0"/>
    <w:rsid w:val="2D023EBB"/>
    <w:rsid w:val="2D0E4885"/>
    <w:rsid w:val="2D224D31"/>
    <w:rsid w:val="2D26130C"/>
    <w:rsid w:val="2D592C63"/>
    <w:rsid w:val="2D823409"/>
    <w:rsid w:val="2D8B694F"/>
    <w:rsid w:val="2E1A6581"/>
    <w:rsid w:val="2E480B1A"/>
    <w:rsid w:val="2E7D457A"/>
    <w:rsid w:val="2EFC6B28"/>
    <w:rsid w:val="2EFD6BA8"/>
    <w:rsid w:val="2F35568B"/>
    <w:rsid w:val="2F4905D5"/>
    <w:rsid w:val="2F533EAB"/>
    <w:rsid w:val="2F5F2A97"/>
    <w:rsid w:val="2FA06B01"/>
    <w:rsid w:val="2FEC1210"/>
    <w:rsid w:val="2FF75274"/>
    <w:rsid w:val="30174677"/>
    <w:rsid w:val="30265BBE"/>
    <w:rsid w:val="306A6F12"/>
    <w:rsid w:val="307B5243"/>
    <w:rsid w:val="30963597"/>
    <w:rsid w:val="30997F03"/>
    <w:rsid w:val="30C13374"/>
    <w:rsid w:val="30DC0898"/>
    <w:rsid w:val="30DE4CB6"/>
    <w:rsid w:val="31513C15"/>
    <w:rsid w:val="31DB53B1"/>
    <w:rsid w:val="31ED4C16"/>
    <w:rsid w:val="31F46017"/>
    <w:rsid w:val="32072B34"/>
    <w:rsid w:val="322315C1"/>
    <w:rsid w:val="324432AB"/>
    <w:rsid w:val="324C56FD"/>
    <w:rsid w:val="32A76793"/>
    <w:rsid w:val="32DA182B"/>
    <w:rsid w:val="33483566"/>
    <w:rsid w:val="336806A8"/>
    <w:rsid w:val="3395054B"/>
    <w:rsid w:val="33A40CBF"/>
    <w:rsid w:val="33A5536B"/>
    <w:rsid w:val="34006285"/>
    <w:rsid w:val="340A22F0"/>
    <w:rsid w:val="3413511E"/>
    <w:rsid w:val="342127BB"/>
    <w:rsid w:val="3429531B"/>
    <w:rsid w:val="344555B1"/>
    <w:rsid w:val="34983CFA"/>
    <w:rsid w:val="34AB0605"/>
    <w:rsid w:val="34C642E6"/>
    <w:rsid w:val="34DF45C0"/>
    <w:rsid w:val="34F72635"/>
    <w:rsid w:val="35383CB7"/>
    <w:rsid w:val="355B3ECE"/>
    <w:rsid w:val="35EB3152"/>
    <w:rsid w:val="362C02B0"/>
    <w:rsid w:val="366E32A5"/>
    <w:rsid w:val="36971B36"/>
    <w:rsid w:val="36B626F9"/>
    <w:rsid w:val="36EF3494"/>
    <w:rsid w:val="370031C1"/>
    <w:rsid w:val="37183D8D"/>
    <w:rsid w:val="375C59E2"/>
    <w:rsid w:val="37AA63D6"/>
    <w:rsid w:val="37DC2EE1"/>
    <w:rsid w:val="37DC4103"/>
    <w:rsid w:val="37FA3652"/>
    <w:rsid w:val="381A3EB1"/>
    <w:rsid w:val="384046F7"/>
    <w:rsid w:val="38B07400"/>
    <w:rsid w:val="38B20BA1"/>
    <w:rsid w:val="38CA47E2"/>
    <w:rsid w:val="38E05D35"/>
    <w:rsid w:val="38E633FF"/>
    <w:rsid w:val="391536F1"/>
    <w:rsid w:val="39256A64"/>
    <w:rsid w:val="39407F37"/>
    <w:rsid w:val="397E5F2A"/>
    <w:rsid w:val="39D24D29"/>
    <w:rsid w:val="3A042343"/>
    <w:rsid w:val="3A066C8D"/>
    <w:rsid w:val="3A5809A6"/>
    <w:rsid w:val="3A6F4EB3"/>
    <w:rsid w:val="3A8E252A"/>
    <w:rsid w:val="3A932169"/>
    <w:rsid w:val="3A937A2E"/>
    <w:rsid w:val="3ABE2775"/>
    <w:rsid w:val="3ACF78CF"/>
    <w:rsid w:val="3AD44A5A"/>
    <w:rsid w:val="3AE316EA"/>
    <w:rsid w:val="3AF96355"/>
    <w:rsid w:val="3AFB22BF"/>
    <w:rsid w:val="3B260A05"/>
    <w:rsid w:val="3B456C38"/>
    <w:rsid w:val="3B462F76"/>
    <w:rsid w:val="3B5F1570"/>
    <w:rsid w:val="3B8E4769"/>
    <w:rsid w:val="3C4C5476"/>
    <w:rsid w:val="3C6A1573"/>
    <w:rsid w:val="3CB55368"/>
    <w:rsid w:val="3CC66D66"/>
    <w:rsid w:val="3CDE38CB"/>
    <w:rsid w:val="3CDE399D"/>
    <w:rsid w:val="3CEC3DF5"/>
    <w:rsid w:val="3D192C68"/>
    <w:rsid w:val="3D1E7EE9"/>
    <w:rsid w:val="3D402496"/>
    <w:rsid w:val="3D653BE5"/>
    <w:rsid w:val="3D815DC6"/>
    <w:rsid w:val="3D9A7621"/>
    <w:rsid w:val="3DA423DE"/>
    <w:rsid w:val="3DE41DE5"/>
    <w:rsid w:val="3E1A5000"/>
    <w:rsid w:val="3E237B0B"/>
    <w:rsid w:val="3E710AFA"/>
    <w:rsid w:val="3E73764A"/>
    <w:rsid w:val="3F237901"/>
    <w:rsid w:val="3F4D38BF"/>
    <w:rsid w:val="3F652DB0"/>
    <w:rsid w:val="3F825356"/>
    <w:rsid w:val="3FC13084"/>
    <w:rsid w:val="40055772"/>
    <w:rsid w:val="40357684"/>
    <w:rsid w:val="4037142B"/>
    <w:rsid w:val="40465875"/>
    <w:rsid w:val="4065704B"/>
    <w:rsid w:val="40846101"/>
    <w:rsid w:val="40897125"/>
    <w:rsid w:val="40AB151B"/>
    <w:rsid w:val="40D80518"/>
    <w:rsid w:val="40E17DFF"/>
    <w:rsid w:val="410052A9"/>
    <w:rsid w:val="410A769C"/>
    <w:rsid w:val="414C0C6D"/>
    <w:rsid w:val="416E08A0"/>
    <w:rsid w:val="417C514C"/>
    <w:rsid w:val="418668DA"/>
    <w:rsid w:val="41A21A1E"/>
    <w:rsid w:val="42073817"/>
    <w:rsid w:val="42307310"/>
    <w:rsid w:val="426E482C"/>
    <w:rsid w:val="42734B2C"/>
    <w:rsid w:val="427C7A3C"/>
    <w:rsid w:val="429B041D"/>
    <w:rsid w:val="42E81D1A"/>
    <w:rsid w:val="43161982"/>
    <w:rsid w:val="432C422E"/>
    <w:rsid w:val="43532EAD"/>
    <w:rsid w:val="43544AD7"/>
    <w:rsid w:val="43741221"/>
    <w:rsid w:val="438074D3"/>
    <w:rsid w:val="43856B53"/>
    <w:rsid w:val="438B5CD4"/>
    <w:rsid w:val="43C23F8F"/>
    <w:rsid w:val="43FA1156"/>
    <w:rsid w:val="445A4A78"/>
    <w:rsid w:val="445C4D64"/>
    <w:rsid w:val="448F6996"/>
    <w:rsid w:val="4493728C"/>
    <w:rsid w:val="45280AA6"/>
    <w:rsid w:val="456066FC"/>
    <w:rsid w:val="458432DE"/>
    <w:rsid w:val="45E54B44"/>
    <w:rsid w:val="45F1649F"/>
    <w:rsid w:val="4604631A"/>
    <w:rsid w:val="46366993"/>
    <w:rsid w:val="463E02DB"/>
    <w:rsid w:val="46850683"/>
    <w:rsid w:val="46AA416E"/>
    <w:rsid w:val="46E36EDB"/>
    <w:rsid w:val="47192FD9"/>
    <w:rsid w:val="4747218F"/>
    <w:rsid w:val="474C643F"/>
    <w:rsid w:val="47664E88"/>
    <w:rsid w:val="47764C09"/>
    <w:rsid w:val="487B55BB"/>
    <w:rsid w:val="48B03A93"/>
    <w:rsid w:val="48B14254"/>
    <w:rsid w:val="48BD7241"/>
    <w:rsid w:val="48E9059B"/>
    <w:rsid w:val="4930612A"/>
    <w:rsid w:val="4933739C"/>
    <w:rsid w:val="493620C9"/>
    <w:rsid w:val="49375E33"/>
    <w:rsid w:val="494C7E6C"/>
    <w:rsid w:val="496B4EEA"/>
    <w:rsid w:val="49AD7897"/>
    <w:rsid w:val="49B645F2"/>
    <w:rsid w:val="49CB46C7"/>
    <w:rsid w:val="49D810A7"/>
    <w:rsid w:val="4A4C7E50"/>
    <w:rsid w:val="4AD05F6A"/>
    <w:rsid w:val="4AFB5D4A"/>
    <w:rsid w:val="4B371494"/>
    <w:rsid w:val="4B704C34"/>
    <w:rsid w:val="4BA7592B"/>
    <w:rsid w:val="4BB9462E"/>
    <w:rsid w:val="4BEA62A3"/>
    <w:rsid w:val="4C2625FE"/>
    <w:rsid w:val="4C281B3F"/>
    <w:rsid w:val="4C9B5059"/>
    <w:rsid w:val="4CD4421B"/>
    <w:rsid w:val="4CD908E3"/>
    <w:rsid w:val="4DBA15BA"/>
    <w:rsid w:val="4DD150D4"/>
    <w:rsid w:val="4DFF1863"/>
    <w:rsid w:val="4E455D52"/>
    <w:rsid w:val="4E845C10"/>
    <w:rsid w:val="4EFA3B90"/>
    <w:rsid w:val="4F0D7226"/>
    <w:rsid w:val="4F16176D"/>
    <w:rsid w:val="4F1A58B4"/>
    <w:rsid w:val="4F9C71E4"/>
    <w:rsid w:val="501A769E"/>
    <w:rsid w:val="50232542"/>
    <w:rsid w:val="50310AAA"/>
    <w:rsid w:val="50430026"/>
    <w:rsid w:val="50457FE0"/>
    <w:rsid w:val="504E3D9F"/>
    <w:rsid w:val="50712B1D"/>
    <w:rsid w:val="50A432C2"/>
    <w:rsid w:val="50A55FB2"/>
    <w:rsid w:val="50D41C39"/>
    <w:rsid w:val="50EE0E04"/>
    <w:rsid w:val="50EE6E00"/>
    <w:rsid w:val="51382E4A"/>
    <w:rsid w:val="51752711"/>
    <w:rsid w:val="517E7C9C"/>
    <w:rsid w:val="51DA3A52"/>
    <w:rsid w:val="51FE7516"/>
    <w:rsid w:val="52D87C2C"/>
    <w:rsid w:val="52E13ED5"/>
    <w:rsid w:val="534E3132"/>
    <w:rsid w:val="53690789"/>
    <w:rsid w:val="538D3EB5"/>
    <w:rsid w:val="53900B50"/>
    <w:rsid w:val="53AF787F"/>
    <w:rsid w:val="53D5706E"/>
    <w:rsid w:val="53D63D90"/>
    <w:rsid w:val="53DB7637"/>
    <w:rsid w:val="53E40BA8"/>
    <w:rsid w:val="53F67EF9"/>
    <w:rsid w:val="54717197"/>
    <w:rsid w:val="548C3FE4"/>
    <w:rsid w:val="54AF35F7"/>
    <w:rsid w:val="54E422C5"/>
    <w:rsid w:val="55127535"/>
    <w:rsid w:val="557A0A6E"/>
    <w:rsid w:val="55931AB7"/>
    <w:rsid w:val="55A51BE6"/>
    <w:rsid w:val="55EA3629"/>
    <w:rsid w:val="5616380D"/>
    <w:rsid w:val="567A0B7E"/>
    <w:rsid w:val="569922CB"/>
    <w:rsid w:val="5730668B"/>
    <w:rsid w:val="57372FF2"/>
    <w:rsid w:val="57B33A7E"/>
    <w:rsid w:val="57DB349B"/>
    <w:rsid w:val="57E45C54"/>
    <w:rsid w:val="58121D6F"/>
    <w:rsid w:val="58436B48"/>
    <w:rsid w:val="592E480E"/>
    <w:rsid w:val="593878DF"/>
    <w:rsid w:val="59481032"/>
    <w:rsid w:val="59F33D78"/>
    <w:rsid w:val="59FB6D30"/>
    <w:rsid w:val="5A1C1801"/>
    <w:rsid w:val="5A884494"/>
    <w:rsid w:val="5AA85332"/>
    <w:rsid w:val="5AD43390"/>
    <w:rsid w:val="5AF85EAF"/>
    <w:rsid w:val="5B58431A"/>
    <w:rsid w:val="5B9A7C3A"/>
    <w:rsid w:val="5C3531D8"/>
    <w:rsid w:val="5C355C01"/>
    <w:rsid w:val="5C92671C"/>
    <w:rsid w:val="5CC46109"/>
    <w:rsid w:val="5CEB3965"/>
    <w:rsid w:val="5CF762C7"/>
    <w:rsid w:val="5D2C7FBC"/>
    <w:rsid w:val="5D483A49"/>
    <w:rsid w:val="5E0123A7"/>
    <w:rsid w:val="5E340660"/>
    <w:rsid w:val="5E56599F"/>
    <w:rsid w:val="5E6378B6"/>
    <w:rsid w:val="5E801138"/>
    <w:rsid w:val="5E8279F1"/>
    <w:rsid w:val="5E8C4409"/>
    <w:rsid w:val="5E9A3EAB"/>
    <w:rsid w:val="5EAC7A86"/>
    <w:rsid w:val="5ED957E7"/>
    <w:rsid w:val="5EF36A14"/>
    <w:rsid w:val="5F370BAD"/>
    <w:rsid w:val="5F687544"/>
    <w:rsid w:val="5F956000"/>
    <w:rsid w:val="5FB611C0"/>
    <w:rsid w:val="5FBE3990"/>
    <w:rsid w:val="5FD72E6C"/>
    <w:rsid w:val="5FE434DB"/>
    <w:rsid w:val="5FFF1C8D"/>
    <w:rsid w:val="60357E01"/>
    <w:rsid w:val="606D1C83"/>
    <w:rsid w:val="60D674BD"/>
    <w:rsid w:val="60F606BE"/>
    <w:rsid w:val="6151208D"/>
    <w:rsid w:val="61926B92"/>
    <w:rsid w:val="61C518F2"/>
    <w:rsid w:val="62346D38"/>
    <w:rsid w:val="6271006A"/>
    <w:rsid w:val="62B36C83"/>
    <w:rsid w:val="62C94FDB"/>
    <w:rsid w:val="62E37728"/>
    <w:rsid w:val="630A6591"/>
    <w:rsid w:val="630F5353"/>
    <w:rsid w:val="632450B9"/>
    <w:rsid w:val="63D027D9"/>
    <w:rsid w:val="641420CC"/>
    <w:rsid w:val="64213EF7"/>
    <w:rsid w:val="64594D54"/>
    <w:rsid w:val="648776FF"/>
    <w:rsid w:val="6490707D"/>
    <w:rsid w:val="64D35E21"/>
    <w:rsid w:val="64E1002B"/>
    <w:rsid w:val="64FA28DE"/>
    <w:rsid w:val="65187714"/>
    <w:rsid w:val="652601F2"/>
    <w:rsid w:val="657E61ED"/>
    <w:rsid w:val="658E5111"/>
    <w:rsid w:val="65995CF5"/>
    <w:rsid w:val="659F392B"/>
    <w:rsid w:val="66793F99"/>
    <w:rsid w:val="669946EC"/>
    <w:rsid w:val="66A138D0"/>
    <w:rsid w:val="66A33D46"/>
    <w:rsid w:val="66AF327C"/>
    <w:rsid w:val="66BB7FB1"/>
    <w:rsid w:val="67276101"/>
    <w:rsid w:val="673C27B7"/>
    <w:rsid w:val="67584C22"/>
    <w:rsid w:val="67735D57"/>
    <w:rsid w:val="67744A5E"/>
    <w:rsid w:val="677E079A"/>
    <w:rsid w:val="67A94BFF"/>
    <w:rsid w:val="67B311D7"/>
    <w:rsid w:val="67B840AC"/>
    <w:rsid w:val="6824703B"/>
    <w:rsid w:val="6866331A"/>
    <w:rsid w:val="68BF334F"/>
    <w:rsid w:val="68D357C6"/>
    <w:rsid w:val="68EB10AA"/>
    <w:rsid w:val="69062B71"/>
    <w:rsid w:val="691142EF"/>
    <w:rsid w:val="693A5775"/>
    <w:rsid w:val="69540308"/>
    <w:rsid w:val="6A55006C"/>
    <w:rsid w:val="6A6E37A8"/>
    <w:rsid w:val="6AF74637"/>
    <w:rsid w:val="6B423B00"/>
    <w:rsid w:val="6B566DE5"/>
    <w:rsid w:val="6B6E60E8"/>
    <w:rsid w:val="6BB42865"/>
    <w:rsid w:val="6BBBBA66"/>
    <w:rsid w:val="6BC908F1"/>
    <w:rsid w:val="6BF81A7F"/>
    <w:rsid w:val="6C2E1946"/>
    <w:rsid w:val="6C567C79"/>
    <w:rsid w:val="6C615B71"/>
    <w:rsid w:val="6C6472C9"/>
    <w:rsid w:val="6C7466B2"/>
    <w:rsid w:val="6CC50642"/>
    <w:rsid w:val="6D087A21"/>
    <w:rsid w:val="6D5827B6"/>
    <w:rsid w:val="6D8E711E"/>
    <w:rsid w:val="6DE64257"/>
    <w:rsid w:val="6E081DB0"/>
    <w:rsid w:val="6E1703AC"/>
    <w:rsid w:val="6E734371"/>
    <w:rsid w:val="6E7B52B0"/>
    <w:rsid w:val="6EE07160"/>
    <w:rsid w:val="6EFD41E6"/>
    <w:rsid w:val="6F4C7545"/>
    <w:rsid w:val="6F8F5922"/>
    <w:rsid w:val="6FEFD48C"/>
    <w:rsid w:val="700E68F9"/>
    <w:rsid w:val="70172AF3"/>
    <w:rsid w:val="7057261E"/>
    <w:rsid w:val="705F1845"/>
    <w:rsid w:val="706E3771"/>
    <w:rsid w:val="709F569C"/>
    <w:rsid w:val="70AB6471"/>
    <w:rsid w:val="70AB7937"/>
    <w:rsid w:val="71821AFF"/>
    <w:rsid w:val="71901F68"/>
    <w:rsid w:val="71923DFD"/>
    <w:rsid w:val="7197480A"/>
    <w:rsid w:val="71AD62A3"/>
    <w:rsid w:val="71D45A4B"/>
    <w:rsid w:val="71E9426B"/>
    <w:rsid w:val="71EA5097"/>
    <w:rsid w:val="72094C93"/>
    <w:rsid w:val="72330AC1"/>
    <w:rsid w:val="7235408B"/>
    <w:rsid w:val="732365B7"/>
    <w:rsid w:val="73327FA4"/>
    <w:rsid w:val="738B0144"/>
    <w:rsid w:val="73B4151F"/>
    <w:rsid w:val="73E261B6"/>
    <w:rsid w:val="74020E1A"/>
    <w:rsid w:val="74364139"/>
    <w:rsid w:val="749857EF"/>
    <w:rsid w:val="749A2BB8"/>
    <w:rsid w:val="74B767DF"/>
    <w:rsid w:val="74BA0AF0"/>
    <w:rsid w:val="74FF4CE1"/>
    <w:rsid w:val="750A7C3C"/>
    <w:rsid w:val="751AE9E3"/>
    <w:rsid w:val="75BF15D4"/>
    <w:rsid w:val="75F0483B"/>
    <w:rsid w:val="75FC7976"/>
    <w:rsid w:val="763C2239"/>
    <w:rsid w:val="76593C9D"/>
    <w:rsid w:val="765B0F65"/>
    <w:rsid w:val="765D5143"/>
    <w:rsid w:val="76780344"/>
    <w:rsid w:val="76BE73C3"/>
    <w:rsid w:val="76DA2EA1"/>
    <w:rsid w:val="76E02D76"/>
    <w:rsid w:val="76E253E3"/>
    <w:rsid w:val="76F341C3"/>
    <w:rsid w:val="76FB5ED3"/>
    <w:rsid w:val="76FE1353"/>
    <w:rsid w:val="7740018E"/>
    <w:rsid w:val="777E6EBA"/>
    <w:rsid w:val="778078D2"/>
    <w:rsid w:val="77897C99"/>
    <w:rsid w:val="77A91284"/>
    <w:rsid w:val="77B00E59"/>
    <w:rsid w:val="77B65D27"/>
    <w:rsid w:val="77FE09D7"/>
    <w:rsid w:val="7811064D"/>
    <w:rsid w:val="783F7086"/>
    <w:rsid w:val="784B36E5"/>
    <w:rsid w:val="78656DFF"/>
    <w:rsid w:val="789938D3"/>
    <w:rsid w:val="794E2B92"/>
    <w:rsid w:val="79AF69CC"/>
    <w:rsid w:val="7A02165E"/>
    <w:rsid w:val="7A0E785C"/>
    <w:rsid w:val="7A470A4E"/>
    <w:rsid w:val="7A754FB2"/>
    <w:rsid w:val="7A7566C0"/>
    <w:rsid w:val="7A794AEF"/>
    <w:rsid w:val="7A8B2A65"/>
    <w:rsid w:val="7A8C4815"/>
    <w:rsid w:val="7AE51156"/>
    <w:rsid w:val="7B4124A3"/>
    <w:rsid w:val="7B76123D"/>
    <w:rsid w:val="7B8175B2"/>
    <w:rsid w:val="7B845794"/>
    <w:rsid w:val="7BC4009E"/>
    <w:rsid w:val="7BD838D8"/>
    <w:rsid w:val="7C0873D6"/>
    <w:rsid w:val="7C1D5383"/>
    <w:rsid w:val="7C3321A8"/>
    <w:rsid w:val="7C554A34"/>
    <w:rsid w:val="7C572E37"/>
    <w:rsid w:val="7C65E818"/>
    <w:rsid w:val="7C667731"/>
    <w:rsid w:val="7C7F474C"/>
    <w:rsid w:val="7CCE2C5B"/>
    <w:rsid w:val="7CDB73F8"/>
    <w:rsid w:val="7CF9109C"/>
    <w:rsid w:val="7D265083"/>
    <w:rsid w:val="7D295F36"/>
    <w:rsid w:val="7D6D7921"/>
    <w:rsid w:val="7D8B01F9"/>
    <w:rsid w:val="7DA2416E"/>
    <w:rsid w:val="7DEC2F26"/>
    <w:rsid w:val="7DFF32A8"/>
    <w:rsid w:val="7E1C501B"/>
    <w:rsid w:val="7E3F63E3"/>
    <w:rsid w:val="7E5D1F32"/>
    <w:rsid w:val="7E61040F"/>
    <w:rsid w:val="7EA6237A"/>
    <w:rsid w:val="7ED40442"/>
    <w:rsid w:val="7FAD340D"/>
    <w:rsid w:val="7FEFDD57"/>
    <w:rsid w:val="976F5CC0"/>
    <w:rsid w:val="DFFFBCE8"/>
    <w:rsid w:val="FABFF4EF"/>
    <w:rsid w:val="FEFB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unhideWhenUsed/>
    <w:qFormat/>
    <w:uiPriority w:val="9"/>
    <w:pPr>
      <w:spacing w:beforeAutospacing="1" w:afterAutospacing="1"/>
      <w:jc w:val="left"/>
      <w:outlineLvl w:val="3"/>
    </w:pPr>
    <w:rPr>
      <w:rFonts w:hint="eastAsia" w:ascii="宋体" w:hAnsi="宋体"/>
      <w:b/>
      <w:bCs/>
      <w:kern w:val="0"/>
      <w:sz w:val="24"/>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2"/>
    <w:semiHidden/>
    <w:unhideWhenUsed/>
    <w:qFormat/>
    <w:uiPriority w:val="99"/>
    <w:rPr>
      <w:b/>
      <w:bCs/>
    </w:rPr>
  </w:style>
  <w:style w:type="paragraph" w:styleId="7">
    <w:name w:val="annotation text"/>
    <w:basedOn w:val="1"/>
    <w:link w:val="51"/>
    <w:semiHidden/>
    <w:unhideWhenUsed/>
    <w:qFormat/>
    <w:uiPriority w:val="99"/>
    <w:pPr>
      <w:jc w:val="left"/>
    </w:p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Body Text"/>
    <w:basedOn w:val="1"/>
    <w:semiHidden/>
    <w:qFormat/>
    <w:uiPriority w:val="0"/>
    <w:rPr>
      <w:rFonts w:ascii="宋体" w:hAnsi="宋体" w:cs="宋体"/>
      <w:szCs w:val="21"/>
      <w:lang w:eastAsia="en-US"/>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Balloon Text"/>
    <w:basedOn w:val="1"/>
    <w:link w:val="47"/>
    <w:semiHidden/>
    <w:unhideWhenUsed/>
    <w:qFormat/>
    <w:uiPriority w:val="99"/>
    <w:rPr>
      <w:rFonts w:asciiTheme="minorHAnsi" w:hAnsiTheme="minorHAnsi" w:eastAsiaTheme="minorEastAsia" w:cstheme="minorBidi"/>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tabs>
        <w:tab w:val="left" w:pos="420"/>
        <w:tab w:val="right" w:leader="dot" w:pos="8296"/>
      </w:tabs>
      <w:spacing w:after="100" w:line="259" w:lineRule="auto"/>
      <w:jc w:val="center"/>
    </w:pPr>
    <w:rPr>
      <w:rFonts w:ascii="黑体" w:hAnsi="黑体"/>
      <w:color w:val="000000" w:themeColor="text1"/>
      <w:kern w:val="0"/>
      <w:szCs w:val="32"/>
      <w14:textFill>
        <w14:solidFill>
          <w14:schemeClr w14:val="tx1"/>
        </w14:solidFill>
      </w14:textFill>
    </w:rPr>
  </w:style>
  <w:style w:type="paragraph" w:styleId="1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9">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2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1">
    <w:name w:val="Normal (Web)"/>
    <w:basedOn w:val="1"/>
    <w:semiHidden/>
    <w:unhideWhenUsed/>
    <w:qFormat/>
    <w:uiPriority w:val="99"/>
    <w:pPr>
      <w:spacing w:beforeAutospacing="1" w:afterAutospacing="1"/>
      <w:jc w:val="left"/>
    </w:pPr>
    <w:rPr>
      <w:kern w:val="0"/>
      <w:sz w:val="24"/>
    </w:rPr>
  </w:style>
  <w:style w:type="character" w:styleId="23">
    <w:name w:val="Strong"/>
    <w:basedOn w:val="22"/>
    <w:qFormat/>
    <w:uiPriority w:val="22"/>
    <w:rPr>
      <w:b/>
    </w:rPr>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Emphasis"/>
    <w:basedOn w:val="22"/>
    <w:qFormat/>
    <w:uiPriority w:val="20"/>
    <w:rPr>
      <w:i/>
    </w:rPr>
  </w:style>
  <w:style w:type="character" w:styleId="26">
    <w:name w:val="Hyperlink"/>
    <w:basedOn w:val="22"/>
    <w:unhideWhenUsed/>
    <w:qFormat/>
    <w:uiPriority w:val="99"/>
    <w:rPr>
      <w:color w:val="0563C1" w:themeColor="hyperlink"/>
      <w:u w:val="single"/>
      <w14:textFill>
        <w14:solidFill>
          <w14:schemeClr w14:val="hlink"/>
        </w14:solidFill>
      </w14:textFill>
    </w:rPr>
  </w:style>
  <w:style w:type="character" w:styleId="27">
    <w:name w:val="annotation reference"/>
    <w:basedOn w:val="22"/>
    <w:semiHidden/>
    <w:unhideWhenUsed/>
    <w:qFormat/>
    <w:uiPriority w:val="99"/>
    <w:rPr>
      <w:sz w:val="21"/>
      <w:szCs w:val="21"/>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标题 1 字符"/>
    <w:basedOn w:val="22"/>
    <w:link w:val="2"/>
    <w:qFormat/>
    <w:uiPriority w:val="9"/>
    <w:rPr>
      <w:rFonts w:ascii="Times New Roman" w:hAnsi="Times New Roman" w:eastAsia="宋体" w:cs="Times New Roman"/>
      <w:b/>
      <w:bCs/>
      <w:kern w:val="44"/>
      <w:sz w:val="44"/>
      <w:szCs w:val="44"/>
    </w:rPr>
  </w:style>
  <w:style w:type="character" w:customStyle="1" w:styleId="31">
    <w:name w:val="页眉 字符"/>
    <w:basedOn w:val="22"/>
    <w:link w:val="15"/>
    <w:qFormat/>
    <w:uiPriority w:val="99"/>
    <w:rPr>
      <w:sz w:val="18"/>
      <w:szCs w:val="18"/>
    </w:rPr>
  </w:style>
  <w:style w:type="character" w:customStyle="1" w:styleId="32">
    <w:name w:val="页脚 字符"/>
    <w:basedOn w:val="22"/>
    <w:link w:val="14"/>
    <w:qFormat/>
    <w:uiPriority w:val="99"/>
    <w:rPr>
      <w:sz w:val="18"/>
      <w:szCs w:val="18"/>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34">
    <w:name w:val="List Paragraph"/>
    <w:basedOn w:val="1"/>
    <w:qFormat/>
    <w:uiPriority w:val="34"/>
    <w:pPr>
      <w:ind w:firstLine="420" w:firstLineChars="200"/>
    </w:pPr>
  </w:style>
  <w:style w:type="paragraph" w:customStyle="1" w:styleId="35">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6">
    <w:name w:val="未处理的提及1"/>
    <w:basedOn w:val="22"/>
    <w:semiHidden/>
    <w:unhideWhenUsed/>
    <w:qFormat/>
    <w:uiPriority w:val="99"/>
    <w:rPr>
      <w:color w:val="605E5C"/>
      <w:shd w:val="clear" w:color="auto" w:fill="E1DFDD"/>
    </w:rPr>
  </w:style>
  <w:style w:type="paragraph" w:customStyle="1" w:styleId="37">
    <w:name w:val="附录标识"/>
    <w:basedOn w:val="1"/>
    <w:next w:val="38"/>
    <w:qFormat/>
    <w:uiPriority w:val="0"/>
    <w:pPr>
      <w:keepNext/>
      <w:widowControl/>
      <w:numPr>
        <w:ilvl w:val="0"/>
        <w:numId w:val="1"/>
      </w:numPr>
      <w:shd w:val="clear" w:color="FFFFFF" w:fill="FFFFFF"/>
      <w:spacing w:before="640" w:after="280"/>
      <w:jc w:val="center"/>
      <w:outlineLvl w:val="0"/>
    </w:pPr>
    <w:rPr>
      <w:rFonts w:ascii="黑体" w:eastAsia="黑体"/>
      <w:kern w:val="0"/>
      <w:szCs w:val="20"/>
    </w:rPr>
  </w:style>
  <w:style w:type="paragraph" w:customStyle="1" w:styleId="38">
    <w:name w:val="段"/>
    <w:qFormat/>
    <w:uiPriority w:val="99"/>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9">
    <w:name w:val="Table Text"/>
    <w:basedOn w:val="1"/>
    <w:semiHidden/>
    <w:qFormat/>
    <w:uiPriority w:val="0"/>
    <w:rPr>
      <w:rFonts w:ascii="宋体" w:hAnsi="宋体" w:cs="宋体"/>
      <w:sz w:val="18"/>
      <w:szCs w:val="18"/>
      <w:lang w:eastAsia="en-US"/>
    </w:rPr>
  </w:style>
  <w:style w:type="table" w:customStyle="1" w:styleId="40">
    <w:name w:val="Table Normal"/>
    <w:semiHidden/>
    <w:unhideWhenUsed/>
    <w:qFormat/>
    <w:uiPriority w:val="0"/>
    <w:tblPr>
      <w:tblLayout w:type="fixed"/>
      <w:tblCellMar>
        <w:top w:w="0" w:type="dxa"/>
        <w:left w:w="0" w:type="dxa"/>
        <w:bottom w:w="0" w:type="dxa"/>
        <w:right w:w="0" w:type="dxa"/>
      </w:tblCellMar>
    </w:tblPr>
  </w:style>
  <w:style w:type="paragraph" w:customStyle="1" w:styleId="41">
    <w:name w:val="前言、引言标题"/>
    <w:next w:val="3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终结线"/>
    <w:basedOn w:val="1"/>
    <w:qFormat/>
    <w:uiPriority w:val="0"/>
    <w:pPr>
      <w:framePr w:hSpace="181" w:vSpace="181" w:wrap="around" w:vAnchor="text" w:hAnchor="margin" w:xAlign="center" w:y="285"/>
    </w:pPr>
  </w:style>
  <w:style w:type="paragraph" w:customStyle="1" w:styleId="46">
    <w:name w:val="一级条标题"/>
    <w:next w:val="38"/>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7">
    <w:name w:val="批注框文本 字符"/>
    <w:basedOn w:val="22"/>
    <w:link w:val="13"/>
    <w:semiHidden/>
    <w:qFormat/>
    <w:uiPriority w:val="99"/>
    <w:rPr>
      <w:rFonts w:asciiTheme="minorHAnsi" w:hAnsiTheme="minorHAnsi" w:eastAsiaTheme="minorEastAsia" w:cstheme="minorBidi"/>
      <w:kern w:val="2"/>
      <w:sz w:val="18"/>
      <w:szCs w:val="18"/>
    </w:rPr>
  </w:style>
  <w:style w:type="paragraph" w:customStyle="1" w:styleId="48">
    <w:name w:val="附录表标题"/>
    <w:basedOn w:val="1"/>
    <w:next w:val="38"/>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49">
    <w:name w:val="附录表标号"/>
    <w:basedOn w:val="1"/>
    <w:next w:val="38"/>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5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1">
    <w:name w:val="批注文字 字符"/>
    <w:basedOn w:val="22"/>
    <w:link w:val="7"/>
    <w:semiHidden/>
    <w:qFormat/>
    <w:uiPriority w:val="99"/>
    <w:rPr>
      <w:kern w:val="2"/>
      <w:sz w:val="21"/>
      <w:szCs w:val="24"/>
    </w:rPr>
  </w:style>
  <w:style w:type="character" w:customStyle="1" w:styleId="52">
    <w:name w:val="批注主题 字符"/>
    <w:basedOn w:val="51"/>
    <w:link w:val="6"/>
    <w:semiHidden/>
    <w:qFormat/>
    <w:uiPriority w:val="99"/>
    <w:rPr>
      <w:b/>
      <w:bCs/>
      <w:kern w:val="2"/>
      <w:sz w:val="21"/>
      <w:szCs w:val="24"/>
    </w:rPr>
  </w:style>
  <w:style w:type="character" w:customStyle="1" w:styleId="53">
    <w:name w:val="未处理的提及2"/>
    <w:basedOn w:val="22"/>
    <w:semiHidden/>
    <w:unhideWhenUsed/>
    <w:qFormat/>
    <w:uiPriority w:val="99"/>
    <w:rPr>
      <w:color w:val="605E5C"/>
      <w:shd w:val="clear" w:color="auto" w:fill="E1DFDD"/>
    </w:rPr>
  </w:style>
  <w:style w:type="paragraph" w:customStyle="1" w:styleId="5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9F4F3-4A1A-4697-9CAC-F5506B9F1F20}">
  <ds:schemaRefs/>
</ds:datastoreItem>
</file>

<file path=docProps/app.xml><?xml version="1.0" encoding="utf-8"?>
<Properties xmlns="http://schemas.openxmlformats.org/officeDocument/2006/extended-properties" xmlns:vt="http://schemas.openxmlformats.org/officeDocument/2006/docPropsVTypes">
  <Template>Normal</Template>
  <Pages>12</Pages>
  <Words>1260</Words>
  <Characters>7187</Characters>
  <Lines>59</Lines>
  <Paragraphs>16</Paragraphs>
  <TotalTime>0</TotalTime>
  <ScaleCrop>false</ScaleCrop>
  <LinksUpToDate>false</LinksUpToDate>
  <CharactersWithSpaces>8431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2025-03-22T08:29:00Z</dcterms:created>
  <dc:creator>安 宁</dc:creator>
  <cp:lastModifiedBy>青莲剑歌</cp:lastModifiedBy>
  <cp:lastPrinted>2025-04-02T00:53:00Z</cp:lastPrinted>
  <dcterms:modified xsi:type="dcterms:W3CDTF">2025-04-10T07:16:46Z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A31CDFEBD81D4CBAA26C6D6FE74E46BE_13</vt:lpwstr>
  </property>
  <property fmtid="{D5CDD505-2E9C-101B-9397-08002B2CF9AE}" pid="4" name="KSOTemplateDocerSaveRecord">
    <vt:lpwstr>eyJoZGlkIjoiZjAyNzEwMjA2MTZhNjcwYTk1OGEwN2YyZmM0YTk3MTYifQ==</vt:lpwstr>
  </property>
</Properties>
</file>