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 w:color="FFFFFF"/>
          <w:shd w:val="clear" w:color="auto" w:fill="auto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shd w:val="clear" w:color="auto" w:fill="auto"/>
          <w:lang w:val="en-US" w:eastAsia="zh-CN"/>
        </w:rPr>
        <w:t>陕西省生态环境厅核发排污许可证的行业企业目录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auto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auto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auto"/>
        </w:rPr>
        <w:t>年本）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6" w:lineRule="exact"/>
        <w:ind w:firstLine="640" w:firstLineChars="200"/>
        <w:textAlignment w:val="auto"/>
        <w:outlineLvl w:val="9"/>
        <w:rPr>
          <w:rFonts w:hint="default" w:ascii="黑体" w:hAnsi="黑体" w:eastAsia="黑体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属于本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《陕西省生态环境厅核发排污许可证的行业企业</w:t>
      </w:r>
      <w:bookmarkStart w:id="0" w:name="_GoBack"/>
      <w:bookmarkEnd w:id="0"/>
      <w:r>
        <w:rPr>
          <w:rFonts w:hint="eastAsia" w:ascii="仿宋_GB2312" w:hAnsi="宋体" w:eastAsia="仿宋_GB2312" w:cs="宋体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目录（2025年本）》（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以下简称《目录》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）涉及新改扩建项目需依法首次申请和重新申请的重点管理类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32"/>
          <w:szCs w:val="32"/>
          <w:shd w:val="clear" w:color="auto" w:fill="auto"/>
        </w:rPr>
        <w:t>排污单位，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由省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32"/>
          <w:szCs w:val="32"/>
          <w:shd w:val="clear" w:color="auto" w:fill="auto"/>
        </w:rPr>
        <w:t>生态环境厅核发排污许可证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，其他情形由市级核发排污许可证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32"/>
          <w:szCs w:val="32"/>
          <w:shd w:val="clear" w:color="auto" w:fill="auto"/>
        </w:rPr>
        <w:t>。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属于简化管理类排污单位，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32"/>
          <w:szCs w:val="32"/>
          <w:shd w:val="clear" w:color="auto" w:fill="auto"/>
        </w:rPr>
        <w:t>由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市级依法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32"/>
          <w:szCs w:val="32"/>
          <w:shd w:val="clear" w:color="auto" w:fill="auto"/>
        </w:rPr>
        <w:t>核发排污许可证。《目录》以外行业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重点管理和简化管理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32"/>
          <w:szCs w:val="32"/>
          <w:shd w:val="clear" w:color="auto" w:fill="auto"/>
        </w:rPr>
        <w:t>类排污单位，由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市级依法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32"/>
          <w:szCs w:val="32"/>
          <w:shd w:val="clear" w:color="auto" w:fill="auto"/>
        </w:rPr>
        <w:t>核发其排污许可证。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ascii="黑体" w:hAnsi="黑体" w:eastAsia="黑体" w:cs="仿宋_GB2312"/>
          <w:b w:val="0"/>
          <w:bCs w:val="0"/>
          <w:color w:val="auto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仿宋_GB2312"/>
          <w:b w:val="0"/>
          <w:bCs w:val="0"/>
          <w:color w:val="auto"/>
          <w:sz w:val="32"/>
          <w:szCs w:val="32"/>
          <w:shd w:val="clear" w:color="auto" w:fill="auto"/>
        </w:rPr>
        <w:t>一、石油、煤炭及其加工业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  <w:t>（一）原油加工及石油制品制造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  <w:t>（二）炼焦（不含兰炭生产）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  <w:t>）煤制液体燃料生产中煤制油、甲醇、乙二醇、乙醇生产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仿宋_GB2312"/>
          <w:b w:val="0"/>
          <w:bCs w:val="0"/>
          <w:color w:val="auto"/>
          <w:sz w:val="32"/>
          <w:szCs w:val="32"/>
          <w:shd w:val="clear" w:color="auto" w:fill="auto"/>
        </w:rPr>
        <w:t>二、化学原料和化学制品制造业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  <w:t>（一）无机碱制造中烧碱、纯碱生产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  <w:t>（二）无机盐制造中电石生产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  <w:t>（三）有机化学原料制造中乙烯生产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  <w:t>（四）氮肥制造中合成氨生产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  <w:t>（五）磷肥制造中磷酸一铵、磷酸二铵生产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仿宋_GB2312"/>
          <w:b w:val="0"/>
          <w:bCs w:val="0"/>
          <w:color w:val="auto"/>
          <w:sz w:val="32"/>
          <w:szCs w:val="32"/>
          <w:shd w:val="clear" w:color="auto" w:fill="auto"/>
        </w:rPr>
        <w:t>三、非金属矿物制品业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  <w:t>（一）水泥制造中水泥（熟料）制造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  <w:t>（二）平板玻璃制造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  <w:t>建筑陶瓷制品制造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  <w:t>卫生陶瓷制品制造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ascii="黑体" w:hAnsi="黑体" w:eastAsia="黑体" w:cs="仿宋_GB2312"/>
          <w:b w:val="0"/>
          <w:bCs w:val="0"/>
          <w:color w:val="auto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仿宋_GB2312"/>
          <w:b w:val="0"/>
          <w:bCs w:val="0"/>
          <w:color w:val="auto"/>
          <w:sz w:val="32"/>
          <w:szCs w:val="32"/>
          <w:shd w:val="clear" w:color="auto" w:fill="auto"/>
        </w:rPr>
        <w:t>四、黑色金属冶炼和压延加工业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shd w:val="clear" w:color="auto" w:fill="auto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  <w:t>一）炼铁中高炉法炼铁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  <w:t>（二）炼钢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ascii="黑体" w:hAnsi="黑体" w:eastAsia="黑体" w:cs="仿宋_GB2312"/>
          <w:b w:val="0"/>
          <w:bCs w:val="0"/>
          <w:color w:val="auto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仿宋_GB2312"/>
          <w:b w:val="0"/>
          <w:bCs w:val="0"/>
          <w:color w:val="auto"/>
          <w:sz w:val="32"/>
          <w:szCs w:val="32"/>
          <w:shd w:val="clear" w:color="auto" w:fill="auto"/>
        </w:rPr>
        <w:t>五、有色金属冶炼和压延加工业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  <w:t>（一）铝冶炼中电解铝生产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  <w:t>（二）铜冶炼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  <w:t>铅锌冶炼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  <w:t>其他常用有色金属冶炼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ascii="黑体" w:hAnsi="黑体" w:eastAsia="黑体" w:cs="仿宋_GB2312"/>
          <w:b w:val="0"/>
          <w:bCs w:val="0"/>
          <w:color w:val="auto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仿宋_GB2312"/>
          <w:b w:val="0"/>
          <w:bCs w:val="0"/>
          <w:color w:val="auto"/>
          <w:sz w:val="32"/>
          <w:szCs w:val="32"/>
          <w:shd w:val="clear" w:color="auto" w:fill="auto"/>
        </w:rPr>
        <w:t>六、电力、热力生产和供应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  <w:t>（一）火力发电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  <w:t>热电联产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（三）生物质发电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  <w:t>中生活垃圾、污泥发电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17DAC"/>
    <w:rsid w:val="77B1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宋体"/>
    </w:rPr>
  </w:style>
  <w:style w:type="paragraph" w:styleId="3">
    <w:name w:val="Body Text 3"/>
    <w:basedOn w:val="1"/>
    <w:next w:val="2"/>
    <w:qFormat/>
    <w:uiPriority w:val="0"/>
    <w:pPr>
      <w:spacing w:after="120"/>
    </w:pPr>
    <w:rPr>
      <w:rFonts w:eastAsia="宋体"/>
    </w:rPr>
  </w:style>
  <w:style w:type="paragraph" w:styleId="4">
    <w:name w:val="Body Text Indent"/>
    <w:basedOn w:val="1"/>
    <w:qFormat/>
    <w:uiPriority w:val="0"/>
    <w:pPr>
      <w:ind w:firstLine="645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2025-01-23T11:09:00Z</dcterms:created>
  <dc:creator>zhuoyue367</dc:creator>
  <cp:lastModifiedBy>zhuoyue367</cp:lastModifiedBy>
  <dcterms:modified xsi:type="dcterms:W3CDTF">2025-01-23T11:10:35Z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F8BC75C01F25478C8C66C4DA20F7F4CD</vt:lpwstr>
  </property>
</Properties>
</file>