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480" w:lineRule="auto"/>
        <w:jc w:val="center"/>
        <w:textAlignment w:val="auto"/>
        <w:rPr>
          <w:rFonts w:hint="eastAsia" w:ascii="Times New Roman" w:hAnsi="Times New Roman" w:eastAsia="宋体" w:cs="Times New Roman"/>
          <w:sz w:val="36"/>
          <w:szCs w:val="36"/>
          <w:lang w:eastAsia="zh-CN"/>
        </w:rPr>
      </w:pPr>
    </w:p>
    <w:p>
      <w:pPr>
        <w:pageBreakBefore w:val="0"/>
        <w:kinsoku/>
        <w:wordWrap/>
        <w:topLinePunct w:val="0"/>
        <w:bidi w:val="0"/>
        <w:spacing w:line="480" w:lineRule="auto"/>
        <w:jc w:val="center"/>
        <w:textAlignment w:val="auto"/>
        <w:rPr>
          <w:rFonts w:hint="eastAsia" w:ascii="方正小标宋简体" w:hAnsi="方正小标宋简体" w:eastAsia="方正小标宋简体" w:cs="方正小标宋简体"/>
          <w:sz w:val="36"/>
          <w:szCs w:val="36"/>
          <w:lang w:eastAsia="zh-CN"/>
        </w:rPr>
      </w:pPr>
    </w:p>
    <w:p>
      <w:pPr>
        <w:pageBreakBefore w:val="0"/>
        <w:kinsoku/>
        <w:wordWrap/>
        <w:topLinePunct w:val="0"/>
        <w:bidi w:val="0"/>
        <w:spacing w:line="480" w:lineRule="auto"/>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《温室气体</w:t>
      </w:r>
      <w:r>
        <w:rPr>
          <w:rFonts w:hint="eastAsia" w:ascii="黑体" w:hAnsi="黑体" w:eastAsia="黑体" w:cs="黑体"/>
          <w:sz w:val="32"/>
          <w:szCs w:val="32"/>
          <w:vertAlign w:val="superscript"/>
          <w:lang w:val="en-US" w:eastAsia="zh-CN"/>
        </w:rPr>
        <w:t>14</w:t>
      </w:r>
      <w:r>
        <w:rPr>
          <w:rFonts w:hint="eastAsia" w:ascii="黑体" w:hAnsi="黑体" w:eastAsia="黑体" w:cs="黑体"/>
          <w:sz w:val="32"/>
          <w:szCs w:val="32"/>
          <w:lang w:val="en-US" w:eastAsia="zh-CN"/>
        </w:rPr>
        <w:t>CO</w:t>
      </w:r>
      <w:r>
        <w:rPr>
          <w:rFonts w:hint="eastAsia" w:ascii="黑体" w:hAnsi="黑体" w:eastAsia="黑体" w:cs="黑体"/>
          <w:sz w:val="32"/>
          <w:szCs w:val="32"/>
          <w:vertAlign w:val="subscript"/>
          <w:lang w:val="en-US" w:eastAsia="zh-CN"/>
        </w:rPr>
        <w:t>2</w:t>
      </w:r>
      <w:r>
        <w:rPr>
          <w:rFonts w:hint="eastAsia" w:ascii="黑体" w:hAnsi="黑体" w:eastAsia="黑体" w:cs="黑体"/>
          <w:sz w:val="32"/>
          <w:szCs w:val="32"/>
          <w:lang w:val="en-US" w:eastAsia="zh-CN"/>
        </w:rPr>
        <w:t>手工监测技术规范</w:t>
      </w:r>
      <w:r>
        <w:rPr>
          <w:rFonts w:hint="eastAsia" w:ascii="黑体" w:hAnsi="黑体" w:eastAsia="黑体" w:cs="黑体"/>
          <w:sz w:val="32"/>
          <w:szCs w:val="32"/>
          <w:lang w:eastAsia="zh-CN"/>
        </w:rPr>
        <w:t>》</w:t>
      </w:r>
    </w:p>
    <w:p>
      <w:pPr>
        <w:pageBreakBefore w:val="0"/>
        <w:kinsoku/>
        <w:wordWrap/>
        <w:topLinePunct w:val="0"/>
        <w:bidi w:val="0"/>
        <w:spacing w:line="48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编制说明</w:t>
      </w:r>
    </w:p>
    <w:p>
      <w:pPr>
        <w:pageBreakBefore w:val="0"/>
        <w:kinsoku/>
        <w:wordWrap/>
        <w:topLinePunct w:val="0"/>
        <w:bidi w:val="0"/>
        <w:spacing w:line="480" w:lineRule="auto"/>
        <w:jc w:val="center"/>
        <w:textAlignment w:val="auto"/>
        <w:rPr>
          <w:rFonts w:hint="default" w:ascii="Times New Roman" w:hAnsi="Times New Roman" w:eastAsia="宋体" w:cs="Times New Roman"/>
          <w:sz w:val="36"/>
          <w:szCs w:val="36"/>
        </w:rPr>
      </w:pPr>
      <w:r>
        <w:rPr>
          <w:rFonts w:hint="eastAsia" w:ascii="楷体_GB2312" w:hAnsi="楷体_GB2312" w:eastAsia="楷体_GB2312" w:cs="楷体_GB2312"/>
          <w:sz w:val="28"/>
          <w:szCs w:val="28"/>
        </w:rPr>
        <w:t>（征求意见稿）</w:t>
      </w: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陕西省环境监测中心站</w:t>
      </w:r>
    </w:p>
    <w:p>
      <w:pPr>
        <w:pageBreakBefore w:val="0"/>
        <w:kinsoku/>
        <w:wordWrap/>
        <w:topLinePunct w:val="0"/>
        <w:bidi w:val="0"/>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二〇二三年十月</w:t>
      </w:r>
    </w:p>
    <w:p>
      <w:pPr>
        <w:pageBreakBefore w:val="0"/>
        <w:kinsoku/>
        <w:wordWrap/>
        <w:topLinePunct w:val="0"/>
        <w:bidi w:val="0"/>
        <w:spacing w:line="360" w:lineRule="auto"/>
        <w:jc w:val="center"/>
        <w:textAlignment w:val="auto"/>
        <w:rPr>
          <w:rFonts w:hint="eastAsia" w:ascii="黑体" w:hAnsi="黑体" w:eastAsia="黑体" w:cs="黑体"/>
          <w:sz w:val="32"/>
          <w:szCs w:val="32"/>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rPr>
      </w:pP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pPr>
        <w:pageBreakBefore w:val="0"/>
        <w:kinsoku/>
        <w:wordWrap/>
        <w:topLinePunct w:val="0"/>
        <w:bidi w:val="0"/>
        <w:spacing w:line="360" w:lineRule="auto"/>
        <w:jc w:val="left"/>
        <w:textAlignment w:val="auto"/>
        <w:rPr>
          <w:rFonts w:hint="eastAsia" w:ascii="黑体" w:hAnsi="黑体" w:eastAsia="黑体" w:cs="黑体"/>
          <w:sz w:val="32"/>
          <w:szCs w:val="32"/>
        </w:rPr>
      </w:pPr>
    </w:p>
    <w:p>
      <w:pPr>
        <w:bidi w:val="0"/>
        <w:rPr>
          <w:rFonts w:hint="eastAsia" w:ascii="黑体" w:hAnsi="黑体" w:eastAsia="黑体" w:cs="黑体"/>
          <w:sz w:val="32"/>
          <w:szCs w:val="32"/>
        </w:rPr>
      </w:pPr>
      <w:r>
        <w:rPr>
          <w:rFonts w:hint="eastAsia" w:ascii="黑体" w:hAnsi="黑体" w:eastAsia="黑体" w:cs="黑体"/>
          <w:sz w:val="32"/>
          <w:szCs w:val="32"/>
        </w:rPr>
        <w:t>项目名称：</w:t>
      </w:r>
      <w:r>
        <w:rPr>
          <w:rFonts w:hint="eastAsia" w:ascii="黑体" w:hAnsi="黑体" w:eastAsia="黑体" w:cs="黑体"/>
          <w:sz w:val="32"/>
          <w:szCs w:val="32"/>
          <w:lang w:val="en-US" w:eastAsia="zh-CN"/>
        </w:rPr>
        <w:t>温室气体</w:t>
      </w:r>
      <w:r>
        <w:rPr>
          <w:rFonts w:hint="eastAsia" w:ascii="黑体" w:hAnsi="黑体" w:eastAsia="黑体" w:cs="黑体"/>
          <w:sz w:val="32"/>
          <w:szCs w:val="32"/>
          <w:vertAlign w:val="superscript"/>
          <w:lang w:val="en-US" w:eastAsia="zh-CN"/>
        </w:rPr>
        <w:t>14</w:t>
      </w:r>
      <w:r>
        <w:rPr>
          <w:rFonts w:hint="eastAsia" w:ascii="黑体" w:hAnsi="黑体" w:eastAsia="黑体" w:cs="黑体"/>
          <w:sz w:val="32"/>
          <w:szCs w:val="32"/>
          <w:lang w:val="en-US" w:eastAsia="zh-CN"/>
        </w:rPr>
        <w:t>CO</w:t>
      </w:r>
      <w:r>
        <w:rPr>
          <w:rFonts w:hint="eastAsia" w:ascii="黑体" w:hAnsi="黑体" w:eastAsia="黑体" w:cs="黑体"/>
          <w:sz w:val="32"/>
          <w:szCs w:val="32"/>
          <w:vertAlign w:val="subscript"/>
          <w:lang w:val="en-US" w:eastAsia="zh-CN"/>
        </w:rPr>
        <w:t>2</w:t>
      </w:r>
      <w:r>
        <w:rPr>
          <w:rFonts w:hint="eastAsia" w:ascii="黑体" w:hAnsi="黑体" w:eastAsia="黑体" w:cs="黑体"/>
          <w:sz w:val="32"/>
          <w:szCs w:val="32"/>
          <w:lang w:val="en-US" w:eastAsia="zh-CN"/>
        </w:rPr>
        <w:t>手工监测技术规范</w:t>
      </w:r>
      <w:r>
        <w:rPr>
          <w:rFonts w:hint="eastAsia" w:ascii="黑体" w:hAnsi="黑体" w:eastAsia="黑体" w:cs="黑体"/>
          <w:sz w:val="32"/>
          <w:szCs w:val="32"/>
        </w:rPr>
        <w:t>（征求意见稿）</w:t>
      </w:r>
    </w:p>
    <w:p>
      <w:pPr>
        <w:pageBreakBefore w:val="0"/>
        <w:kinsoku/>
        <w:wordWrap/>
        <w:topLinePunct w:val="0"/>
        <w:bidi w:val="0"/>
        <w:spacing w:line="360" w:lineRule="auto"/>
        <w:jc w:val="left"/>
        <w:textAlignment w:val="auto"/>
        <w:rPr>
          <w:rFonts w:hint="eastAsia" w:ascii="黑体" w:hAnsi="黑体" w:eastAsia="黑体" w:cs="黑体"/>
          <w:sz w:val="32"/>
          <w:szCs w:val="32"/>
        </w:rPr>
      </w:pPr>
    </w:p>
    <w:p>
      <w:pPr>
        <w:pageBreakBefore w:val="0"/>
        <w:kinsoku/>
        <w:wordWrap/>
        <w:topLinePunct w:val="0"/>
        <w:bidi w:val="0"/>
        <w:spacing w:line="360" w:lineRule="auto"/>
        <w:jc w:val="left"/>
        <w:textAlignment w:val="auto"/>
        <w:rPr>
          <w:rFonts w:hint="eastAsia" w:ascii="黑体" w:hAnsi="黑体" w:eastAsia="黑体" w:cs="黑体"/>
          <w:sz w:val="32"/>
          <w:szCs w:val="32"/>
        </w:rPr>
      </w:pPr>
      <w:r>
        <w:rPr>
          <w:rFonts w:hint="eastAsia" w:ascii="黑体" w:hAnsi="黑体" w:eastAsia="黑体" w:cs="黑体"/>
          <w:sz w:val="32"/>
          <w:szCs w:val="32"/>
        </w:rPr>
        <w:t>项目统一编号：SDBXM044-2023</w:t>
      </w:r>
    </w:p>
    <w:p>
      <w:pPr>
        <w:pageBreakBefore w:val="0"/>
        <w:kinsoku/>
        <w:wordWrap/>
        <w:topLinePunct w:val="0"/>
        <w:bidi w:val="0"/>
        <w:spacing w:line="360" w:lineRule="auto"/>
        <w:jc w:val="left"/>
        <w:textAlignment w:val="auto"/>
        <w:rPr>
          <w:rFonts w:hint="eastAsia" w:ascii="黑体" w:hAnsi="黑体" w:eastAsia="黑体" w:cs="黑体"/>
          <w:sz w:val="32"/>
          <w:szCs w:val="32"/>
        </w:rPr>
      </w:pPr>
    </w:p>
    <w:p>
      <w:pPr>
        <w:pageBreakBefore w:val="0"/>
        <w:kinsoku/>
        <w:wordWrap/>
        <w:topLinePunct w:val="0"/>
        <w:bidi w:val="0"/>
        <w:spacing w:line="360" w:lineRule="auto"/>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承担单位：陕西省环境监测中心站 中国科学院地球环境研究所</w:t>
      </w:r>
      <w:r>
        <w:rPr>
          <w:rFonts w:hint="eastAsia" w:ascii="黑体" w:hAnsi="黑体" w:eastAsia="黑体" w:cs="黑体"/>
          <w:color w:val="auto"/>
          <w:sz w:val="32"/>
          <w:szCs w:val="32"/>
          <w:lang w:val="en-US" w:eastAsia="zh-CN"/>
        </w:rPr>
        <w:t xml:space="preserve"> 铜川市环境监测站、</w:t>
      </w:r>
      <w:r>
        <w:rPr>
          <w:rFonts w:hint="eastAsia" w:ascii="黑体" w:hAnsi="黑体" w:eastAsia="黑体" w:cs="黑体"/>
          <w:color w:val="auto"/>
          <w:sz w:val="32"/>
          <w:szCs w:val="32"/>
          <w:lang w:eastAsia="zh-CN"/>
        </w:rPr>
        <w:t>陕西省标准化研究院</w:t>
      </w:r>
    </w:p>
    <w:p>
      <w:pPr>
        <w:pageBreakBefore w:val="0"/>
        <w:kinsoku/>
        <w:wordWrap/>
        <w:topLinePunct w:val="0"/>
        <w:bidi w:val="0"/>
        <w:spacing w:line="360" w:lineRule="auto"/>
        <w:jc w:val="left"/>
        <w:textAlignment w:val="auto"/>
        <w:rPr>
          <w:rFonts w:hint="eastAsia" w:ascii="黑体" w:hAnsi="黑体" w:eastAsia="黑体" w:cs="黑体"/>
          <w:sz w:val="32"/>
          <w:szCs w:val="32"/>
        </w:rPr>
      </w:pPr>
    </w:p>
    <w:p>
      <w:pPr>
        <w:pageBreakBefore w:val="0"/>
        <w:kinsoku/>
        <w:wordWrap/>
        <w:topLinePunct w:val="0"/>
        <w:bidi w:val="0"/>
        <w:spacing w:line="360" w:lineRule="auto"/>
        <w:ind w:left="480" w:hanging="640" w:hangingChars="200"/>
        <w:jc w:val="left"/>
        <w:textAlignment w:val="auto"/>
        <w:rPr>
          <w:rFonts w:hint="eastAsia" w:ascii="黑体" w:hAnsi="黑体" w:eastAsia="黑体" w:cs="黑体"/>
          <w:sz w:val="32"/>
          <w:szCs w:val="32"/>
        </w:rPr>
      </w:pPr>
      <w:r>
        <w:rPr>
          <w:rFonts w:hint="eastAsia" w:ascii="黑体" w:hAnsi="黑体" w:eastAsia="黑体" w:cs="黑体"/>
          <w:sz w:val="32"/>
          <w:szCs w:val="32"/>
        </w:rPr>
        <w:t>编制组主要成员：杨震、范智超、牛振川、阎占强、曹磊、</w:t>
      </w:r>
    </w:p>
    <w:p>
      <w:pPr>
        <w:pageBreakBefore w:val="0"/>
        <w:kinsoku/>
        <w:wordWrap/>
        <w:topLinePunct w:val="0"/>
        <w:bidi w:val="0"/>
        <w:spacing w:line="360" w:lineRule="auto"/>
        <w:ind w:left="638" w:leftChars="304" w:firstLine="1920" w:firstLineChars="600"/>
        <w:jc w:val="left"/>
        <w:textAlignment w:val="auto"/>
        <w:rPr>
          <w:rFonts w:hint="eastAsia" w:ascii="黑体" w:hAnsi="黑体" w:eastAsia="黑体" w:cs="黑体"/>
          <w:sz w:val="32"/>
          <w:szCs w:val="32"/>
        </w:rPr>
      </w:pPr>
      <w:r>
        <w:rPr>
          <w:rFonts w:hint="eastAsia" w:ascii="黑体" w:hAnsi="黑体" w:eastAsia="黑体" w:cs="黑体"/>
          <w:sz w:val="32"/>
          <w:szCs w:val="32"/>
        </w:rPr>
        <w:t>张霖琳、王启元、张扬</w:t>
      </w:r>
    </w:p>
    <w:sdt>
      <w:sdtPr>
        <w:rPr>
          <w:rFonts w:hint="default" w:ascii="Times New Roman" w:hAnsi="Times New Roman" w:eastAsia="宋体" w:cs="Times New Roman"/>
          <w:sz w:val="24"/>
          <w:szCs w:val="24"/>
          <w:lang w:val="zh-CN"/>
        </w:rPr>
        <w:id w:val="-1204931844"/>
        <w:docPartObj>
          <w:docPartGallery w:val="Table of Contents"/>
          <w:docPartUnique/>
        </w:docPartObj>
      </w:sdtPr>
      <w:sdtEndPr>
        <w:rPr>
          <w:rFonts w:hint="default" w:ascii="Times New Roman" w:hAnsi="Times New Roman" w:eastAsia="宋体" w:cs="Times New Roman"/>
          <w:b/>
          <w:bCs/>
          <w:sz w:val="24"/>
          <w:szCs w:val="24"/>
          <w:lang w:val="zh-CN"/>
        </w:rPr>
      </w:sdtEndPr>
      <w:sdtContent>
        <w:p>
          <w:pPr>
            <w:pageBreakBefore w:val="0"/>
            <w:kinsoku/>
            <w:wordWrap/>
            <w:topLinePunct w:val="0"/>
            <w:bidi w:val="0"/>
            <w:spacing w:line="360" w:lineRule="auto"/>
            <w:jc w:val="center"/>
            <w:textAlignment w:val="auto"/>
            <w:rPr>
              <w:rFonts w:hint="default" w:ascii="Times New Roman" w:hAnsi="Times New Roman" w:eastAsia="宋体" w:cs="Times New Roman"/>
              <w:sz w:val="24"/>
              <w:szCs w:val="24"/>
              <w:lang w:val="zh-CN"/>
            </w:rPr>
          </w:pPr>
        </w:p>
        <w:p>
          <w:pPr>
            <w:pageBreakBefore w:val="0"/>
            <w:kinsoku/>
            <w:wordWrap/>
            <w:topLinePunct w:val="0"/>
            <w:bidi w:val="0"/>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lang w:val="zh-CN"/>
            </w:rPr>
            <w:br w:type="page"/>
          </w:r>
        </w:p>
        <w:p>
          <w:pPr>
            <w:pageBreakBefore w:val="0"/>
            <w:kinsoku/>
            <w:wordWrap/>
            <w:topLinePunct w:val="0"/>
            <w:bidi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目录</w:t>
          </w:r>
        </w:p>
        <w:p>
          <w:pPr>
            <w:pStyle w:val="12"/>
            <w:tabs>
              <w:tab w:val="right" w:leader="dot" w:pos="8306"/>
            </w:tabs>
            <w:spacing w:line="360" w:lineRule="auto"/>
            <w:rPr>
              <w:b/>
              <w:bCs w:val="0"/>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TOC \o "1-3" \h \z \u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_Toc8640 </w:instrText>
          </w:r>
          <w:r>
            <w:rPr>
              <w:rFonts w:hint="default" w:ascii="Times New Roman" w:hAnsi="Times New Roman" w:eastAsia="宋体" w:cs="Times New Roman"/>
              <w:b/>
              <w:bCs w:val="0"/>
              <w:szCs w:val="24"/>
              <w:lang w:val="zh-CN"/>
            </w:rPr>
            <w:fldChar w:fldCharType="separate"/>
          </w:r>
          <w:r>
            <w:rPr>
              <w:rFonts w:hint="default" w:ascii="Times New Roman" w:hAnsi="Times New Roman" w:eastAsia="宋体" w:cs="Times New Roman"/>
              <w:b/>
              <w:bCs w:val="0"/>
              <w:kern w:val="44"/>
              <w:szCs w:val="24"/>
              <w:lang w:val="en-US" w:eastAsia="zh-CN" w:bidi="ar-SA"/>
            </w:rPr>
            <w:t>1</w:t>
          </w:r>
          <w:r>
            <w:rPr>
              <w:rFonts w:hint="eastAsia" w:ascii="Times New Roman" w:hAnsi="Times New Roman" w:eastAsia="宋体" w:cs="Times New Roman"/>
              <w:b/>
              <w:bCs w:val="0"/>
              <w:kern w:val="44"/>
              <w:szCs w:val="24"/>
              <w:lang w:val="en-US" w:eastAsia="zh-CN" w:bidi="ar-SA"/>
            </w:rPr>
            <w:t xml:space="preserve">  </w:t>
          </w:r>
          <w:r>
            <w:rPr>
              <w:rFonts w:hint="default" w:ascii="Times New Roman" w:hAnsi="Times New Roman" w:eastAsia="宋体" w:cs="Times New Roman"/>
              <w:b/>
              <w:bCs w:val="0"/>
              <w:szCs w:val="24"/>
            </w:rPr>
            <w:t>任务来源</w:t>
          </w:r>
          <w:r>
            <w:rPr>
              <w:b/>
              <w:bCs w:val="0"/>
            </w:rPr>
            <w:tab/>
          </w:r>
          <w:r>
            <w:rPr>
              <w:b/>
              <w:bCs w:val="0"/>
            </w:rPr>
            <w:fldChar w:fldCharType="begin"/>
          </w:r>
          <w:r>
            <w:rPr>
              <w:b/>
              <w:bCs w:val="0"/>
            </w:rPr>
            <w:instrText xml:space="preserve"> PAGEREF _Toc8640 \h </w:instrText>
          </w:r>
          <w:r>
            <w:rPr>
              <w:b/>
              <w:bCs w:val="0"/>
            </w:rPr>
            <w:fldChar w:fldCharType="separate"/>
          </w:r>
          <w:r>
            <w:rPr>
              <w:b/>
              <w:bCs w:val="0"/>
            </w:rPr>
            <w:t>1</w:t>
          </w:r>
          <w:r>
            <w:rPr>
              <w:b/>
              <w:bCs w:val="0"/>
            </w:rPr>
            <w:fldChar w:fldCharType="end"/>
          </w:r>
          <w:r>
            <w:rPr>
              <w:rFonts w:hint="default" w:ascii="Times New Roman" w:hAnsi="Times New Roman" w:eastAsia="宋体" w:cs="Times New Roman"/>
              <w:b/>
              <w:bCs w:val="0"/>
              <w:szCs w:val="24"/>
              <w:lang w:val="zh-CN"/>
            </w:rPr>
            <w:fldChar w:fldCharType="end"/>
          </w:r>
        </w:p>
        <w:p>
          <w:pPr>
            <w:pStyle w:val="12"/>
            <w:tabs>
              <w:tab w:val="right" w:leader="dot" w:pos="8306"/>
            </w:tabs>
            <w:spacing w:line="360" w:lineRule="auto"/>
            <w:rPr>
              <w:b/>
              <w:bCs w:val="0"/>
            </w:rPr>
          </w:pP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_Toc25419 </w:instrText>
          </w:r>
          <w:r>
            <w:rPr>
              <w:rFonts w:hint="default" w:ascii="Times New Roman" w:hAnsi="Times New Roman" w:eastAsia="宋体" w:cs="Times New Roman"/>
              <w:b/>
              <w:bCs w:val="0"/>
              <w:szCs w:val="24"/>
              <w:lang w:val="zh-CN"/>
            </w:rPr>
            <w:fldChar w:fldCharType="separate"/>
          </w:r>
          <w:r>
            <w:rPr>
              <w:rFonts w:hint="default" w:ascii="Times New Roman" w:hAnsi="Times New Roman" w:eastAsia="宋体" w:cs="Times New Roman"/>
              <w:b/>
              <w:bCs w:val="0"/>
              <w:kern w:val="44"/>
              <w:szCs w:val="24"/>
              <w:lang w:val="en-US" w:eastAsia="zh-CN" w:bidi="ar-SA"/>
            </w:rPr>
            <w:t>2</w:t>
          </w:r>
          <w:r>
            <w:rPr>
              <w:rFonts w:hint="eastAsia" w:ascii="Times New Roman" w:hAnsi="Times New Roman" w:eastAsia="宋体" w:cs="Times New Roman"/>
              <w:b/>
              <w:bCs w:val="0"/>
              <w:kern w:val="44"/>
              <w:szCs w:val="24"/>
              <w:lang w:val="en-US" w:eastAsia="zh-CN" w:bidi="ar-SA"/>
            </w:rPr>
            <w:t xml:space="preserve">  </w:t>
          </w:r>
          <w:r>
            <w:rPr>
              <w:rFonts w:hint="default" w:ascii="Times New Roman" w:hAnsi="Times New Roman" w:eastAsia="宋体" w:cs="Times New Roman"/>
              <w:b/>
              <w:bCs w:val="0"/>
              <w:kern w:val="44"/>
              <w:szCs w:val="24"/>
              <w:lang w:val="en-US" w:eastAsia="zh-CN" w:bidi="ar-SA"/>
            </w:rPr>
            <w:t>目的意义</w:t>
          </w:r>
          <w:r>
            <w:rPr>
              <w:b/>
              <w:bCs w:val="0"/>
            </w:rPr>
            <w:tab/>
          </w:r>
          <w:r>
            <w:rPr>
              <w:b/>
              <w:bCs w:val="0"/>
            </w:rPr>
            <w:fldChar w:fldCharType="begin"/>
          </w:r>
          <w:r>
            <w:rPr>
              <w:b/>
              <w:bCs w:val="0"/>
            </w:rPr>
            <w:instrText xml:space="preserve"> PAGEREF _Toc25419 \h </w:instrText>
          </w:r>
          <w:r>
            <w:rPr>
              <w:b/>
              <w:bCs w:val="0"/>
            </w:rPr>
            <w:fldChar w:fldCharType="separate"/>
          </w:r>
          <w:r>
            <w:rPr>
              <w:b/>
              <w:bCs w:val="0"/>
            </w:rPr>
            <w:t>1</w:t>
          </w:r>
          <w:r>
            <w:rPr>
              <w:b/>
              <w:bCs w:val="0"/>
            </w:rPr>
            <w:fldChar w:fldCharType="end"/>
          </w:r>
          <w:r>
            <w:rPr>
              <w:rFonts w:hint="default" w:ascii="Times New Roman" w:hAnsi="Times New Roman" w:eastAsia="宋体" w:cs="Times New Roman"/>
              <w:b/>
              <w:bCs w:val="0"/>
              <w:szCs w:val="24"/>
              <w:lang w:val="zh-CN"/>
            </w:rPr>
            <w:fldChar w:fldCharType="end"/>
          </w:r>
        </w:p>
        <w:p>
          <w:pPr>
            <w:pStyle w:val="12"/>
            <w:tabs>
              <w:tab w:val="right" w:leader="dot" w:pos="8306"/>
            </w:tabs>
            <w:spacing w:line="360" w:lineRule="auto"/>
            <w:rPr>
              <w:b/>
              <w:bCs w:val="0"/>
            </w:rPr>
          </w:pP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_Toc9203 </w:instrText>
          </w:r>
          <w:r>
            <w:rPr>
              <w:rFonts w:hint="default" w:ascii="Times New Roman" w:hAnsi="Times New Roman" w:eastAsia="宋体" w:cs="Times New Roman"/>
              <w:b/>
              <w:bCs w:val="0"/>
              <w:szCs w:val="24"/>
              <w:lang w:val="zh-CN"/>
            </w:rPr>
            <w:fldChar w:fldCharType="separate"/>
          </w:r>
          <w:r>
            <w:rPr>
              <w:rFonts w:hint="eastAsia" w:ascii="Times New Roman" w:hAnsi="Times New Roman" w:eastAsia="宋体" w:cs="Times New Roman"/>
              <w:b/>
              <w:bCs w:val="0"/>
              <w:kern w:val="44"/>
              <w:szCs w:val="24"/>
              <w:lang w:val="en-US" w:eastAsia="zh-CN" w:bidi="ar-SA"/>
            </w:rPr>
            <w:t>3  国内外研究现状</w:t>
          </w:r>
          <w:r>
            <w:rPr>
              <w:b/>
              <w:bCs w:val="0"/>
            </w:rPr>
            <w:tab/>
          </w:r>
          <w:r>
            <w:rPr>
              <w:b/>
              <w:bCs w:val="0"/>
            </w:rPr>
            <w:fldChar w:fldCharType="begin"/>
          </w:r>
          <w:r>
            <w:rPr>
              <w:b/>
              <w:bCs w:val="0"/>
            </w:rPr>
            <w:instrText xml:space="preserve"> PAGEREF _Toc9203 \h </w:instrText>
          </w:r>
          <w:r>
            <w:rPr>
              <w:b/>
              <w:bCs w:val="0"/>
            </w:rPr>
            <w:fldChar w:fldCharType="separate"/>
          </w:r>
          <w:r>
            <w:rPr>
              <w:b/>
              <w:bCs w:val="0"/>
            </w:rPr>
            <w:t>2</w:t>
          </w:r>
          <w:r>
            <w:rPr>
              <w:b/>
              <w:bCs w:val="0"/>
            </w:rPr>
            <w:fldChar w:fldCharType="end"/>
          </w:r>
          <w:r>
            <w:rPr>
              <w:rFonts w:hint="default" w:ascii="Times New Roman" w:hAnsi="Times New Roman" w:eastAsia="宋体" w:cs="Times New Roman"/>
              <w:b/>
              <w:bCs w:val="0"/>
              <w:szCs w:val="24"/>
              <w:lang w:val="zh-CN"/>
            </w:rPr>
            <w:fldChar w:fldCharType="end"/>
          </w:r>
        </w:p>
        <w:p>
          <w:pPr>
            <w:pStyle w:val="12"/>
            <w:tabs>
              <w:tab w:val="right" w:leader="dot" w:pos="8306"/>
            </w:tabs>
            <w:spacing w:line="360" w:lineRule="auto"/>
            <w:rPr>
              <w:b/>
              <w:bCs w:val="0"/>
            </w:rPr>
          </w:pP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_Toc23190 </w:instrText>
          </w:r>
          <w:r>
            <w:rPr>
              <w:rFonts w:hint="default" w:ascii="Times New Roman" w:hAnsi="Times New Roman" w:eastAsia="宋体" w:cs="Times New Roman"/>
              <w:b/>
              <w:bCs w:val="0"/>
              <w:szCs w:val="24"/>
              <w:lang w:val="zh-CN"/>
            </w:rPr>
            <w:fldChar w:fldCharType="separate"/>
          </w:r>
          <w:r>
            <w:rPr>
              <w:rFonts w:hint="eastAsia" w:ascii="Times New Roman" w:hAnsi="Times New Roman" w:eastAsia="宋体" w:cs="Times New Roman"/>
              <w:b/>
              <w:bCs w:val="0"/>
              <w:kern w:val="44"/>
              <w:szCs w:val="24"/>
              <w:lang w:val="en-US" w:eastAsia="zh-CN" w:bidi="ar-SA"/>
            </w:rPr>
            <w:t xml:space="preserve">4  </w:t>
          </w:r>
          <w:r>
            <w:rPr>
              <w:rFonts w:hint="default" w:ascii="Times New Roman" w:hAnsi="Times New Roman" w:eastAsia="宋体" w:cs="Times New Roman"/>
              <w:b/>
              <w:bCs w:val="0"/>
              <w:kern w:val="44"/>
              <w:szCs w:val="24"/>
              <w:lang w:val="en-US" w:eastAsia="zh-CN" w:bidi="ar-SA"/>
            </w:rPr>
            <w:t>主要工作过程</w:t>
          </w:r>
          <w:r>
            <w:rPr>
              <w:b/>
              <w:bCs w:val="0"/>
            </w:rPr>
            <w:tab/>
          </w:r>
          <w:r>
            <w:rPr>
              <w:b/>
              <w:bCs w:val="0"/>
            </w:rPr>
            <w:fldChar w:fldCharType="begin"/>
          </w:r>
          <w:r>
            <w:rPr>
              <w:b/>
              <w:bCs w:val="0"/>
            </w:rPr>
            <w:instrText xml:space="preserve"> PAGEREF _Toc23190 \h </w:instrText>
          </w:r>
          <w:r>
            <w:rPr>
              <w:b/>
              <w:bCs w:val="0"/>
            </w:rPr>
            <w:fldChar w:fldCharType="separate"/>
          </w:r>
          <w:r>
            <w:rPr>
              <w:b/>
              <w:bCs w:val="0"/>
            </w:rPr>
            <w:t>3</w:t>
          </w:r>
          <w:r>
            <w:rPr>
              <w:b/>
              <w:bCs w:val="0"/>
            </w:rPr>
            <w:fldChar w:fldCharType="end"/>
          </w:r>
          <w:r>
            <w:rPr>
              <w:rFonts w:hint="default" w:ascii="Times New Roman" w:hAnsi="Times New Roman" w:eastAsia="宋体" w:cs="Times New Roman"/>
              <w:b/>
              <w:bCs w:val="0"/>
              <w:szCs w:val="24"/>
              <w:lang w:val="zh-CN"/>
            </w:rPr>
            <w:fldChar w:fldCharType="end"/>
          </w:r>
        </w:p>
        <w:p>
          <w:pPr>
            <w:pStyle w:val="12"/>
            <w:tabs>
              <w:tab w:val="right" w:leader="dot" w:pos="8306"/>
            </w:tabs>
            <w:spacing w:line="360" w:lineRule="auto"/>
            <w:rPr>
              <w:b/>
              <w:bCs w:val="0"/>
            </w:rPr>
          </w:pP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_Toc29583 </w:instrText>
          </w:r>
          <w:r>
            <w:rPr>
              <w:rFonts w:hint="default" w:ascii="Times New Roman" w:hAnsi="Times New Roman" w:eastAsia="宋体" w:cs="Times New Roman"/>
              <w:b/>
              <w:bCs w:val="0"/>
              <w:szCs w:val="24"/>
              <w:lang w:val="zh-CN"/>
            </w:rPr>
            <w:fldChar w:fldCharType="separate"/>
          </w:r>
          <w:r>
            <w:rPr>
              <w:rFonts w:hint="eastAsia" w:ascii="Times New Roman" w:hAnsi="Times New Roman" w:eastAsia="宋体" w:cs="Times New Roman"/>
              <w:b/>
              <w:bCs w:val="0"/>
              <w:kern w:val="44"/>
              <w:szCs w:val="24"/>
              <w:lang w:val="en-US" w:eastAsia="zh-CN" w:bidi="ar-SA"/>
            </w:rPr>
            <w:t xml:space="preserve">5  </w:t>
          </w:r>
          <w:r>
            <w:rPr>
              <w:rFonts w:hint="default" w:ascii="Times New Roman" w:hAnsi="Times New Roman" w:eastAsia="宋体" w:cs="Times New Roman"/>
              <w:b/>
              <w:bCs w:val="0"/>
              <w:kern w:val="44"/>
              <w:szCs w:val="24"/>
              <w:lang w:val="en-US" w:eastAsia="zh-CN" w:bidi="ar-SA"/>
            </w:rPr>
            <w:t>标准起草工作组成员及任务分工</w:t>
          </w:r>
          <w:r>
            <w:rPr>
              <w:b/>
              <w:bCs w:val="0"/>
            </w:rPr>
            <w:tab/>
          </w:r>
          <w:r>
            <w:rPr>
              <w:b/>
              <w:bCs w:val="0"/>
            </w:rPr>
            <w:fldChar w:fldCharType="begin"/>
          </w:r>
          <w:r>
            <w:rPr>
              <w:b/>
              <w:bCs w:val="0"/>
            </w:rPr>
            <w:instrText xml:space="preserve"> PAGEREF _Toc29583 \h </w:instrText>
          </w:r>
          <w:r>
            <w:rPr>
              <w:b/>
              <w:bCs w:val="0"/>
            </w:rPr>
            <w:fldChar w:fldCharType="separate"/>
          </w:r>
          <w:r>
            <w:rPr>
              <w:b/>
              <w:bCs w:val="0"/>
            </w:rPr>
            <w:t>4</w:t>
          </w:r>
          <w:r>
            <w:rPr>
              <w:b/>
              <w:bCs w:val="0"/>
            </w:rPr>
            <w:fldChar w:fldCharType="end"/>
          </w:r>
          <w:r>
            <w:rPr>
              <w:rFonts w:hint="default" w:ascii="Times New Roman" w:hAnsi="Times New Roman" w:eastAsia="宋体" w:cs="Times New Roman"/>
              <w:b/>
              <w:bCs w:val="0"/>
              <w:szCs w:val="24"/>
              <w:lang w:val="zh-CN"/>
            </w:rPr>
            <w:fldChar w:fldCharType="end"/>
          </w:r>
        </w:p>
        <w:p>
          <w:pPr>
            <w:pStyle w:val="12"/>
            <w:tabs>
              <w:tab w:val="right" w:leader="dot" w:pos="8306"/>
            </w:tabs>
            <w:spacing w:line="360" w:lineRule="auto"/>
            <w:rPr>
              <w:b/>
              <w:bCs w:val="0"/>
            </w:rPr>
          </w:pP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_Toc15852 </w:instrText>
          </w:r>
          <w:r>
            <w:rPr>
              <w:rFonts w:hint="default" w:ascii="Times New Roman" w:hAnsi="Times New Roman" w:eastAsia="宋体" w:cs="Times New Roman"/>
              <w:b/>
              <w:bCs w:val="0"/>
              <w:szCs w:val="24"/>
              <w:lang w:val="zh-CN"/>
            </w:rPr>
            <w:fldChar w:fldCharType="separate"/>
          </w:r>
          <w:r>
            <w:rPr>
              <w:rFonts w:hint="eastAsia" w:ascii="Times New Roman" w:hAnsi="Times New Roman" w:eastAsia="宋体" w:cs="Times New Roman"/>
              <w:b/>
              <w:bCs w:val="0"/>
              <w:kern w:val="44"/>
              <w:szCs w:val="24"/>
              <w:lang w:val="en-US" w:eastAsia="zh-CN" w:bidi="ar-SA"/>
            </w:rPr>
            <w:t xml:space="preserve">6   </w:t>
          </w:r>
          <w:r>
            <w:rPr>
              <w:rFonts w:hint="default" w:ascii="Times New Roman" w:hAnsi="Times New Roman" w:eastAsia="宋体" w:cs="Times New Roman"/>
              <w:b/>
              <w:bCs w:val="0"/>
              <w:kern w:val="44"/>
              <w:szCs w:val="24"/>
              <w:lang w:val="en-US" w:eastAsia="zh-CN" w:bidi="ar-SA"/>
            </w:rPr>
            <w:t>标准编制的原则、技术路线</w:t>
          </w:r>
          <w:r>
            <w:rPr>
              <w:b/>
              <w:bCs w:val="0"/>
            </w:rPr>
            <w:tab/>
          </w:r>
          <w:r>
            <w:rPr>
              <w:b/>
              <w:bCs w:val="0"/>
            </w:rPr>
            <w:fldChar w:fldCharType="begin"/>
          </w:r>
          <w:r>
            <w:rPr>
              <w:b/>
              <w:bCs w:val="0"/>
            </w:rPr>
            <w:instrText xml:space="preserve"> PAGEREF _Toc15852 \h </w:instrText>
          </w:r>
          <w:r>
            <w:rPr>
              <w:b/>
              <w:bCs w:val="0"/>
            </w:rPr>
            <w:fldChar w:fldCharType="separate"/>
          </w:r>
          <w:r>
            <w:rPr>
              <w:b/>
              <w:bCs w:val="0"/>
            </w:rPr>
            <w:t>4</w:t>
          </w:r>
          <w:r>
            <w:rPr>
              <w:b/>
              <w:bCs w:val="0"/>
            </w:rPr>
            <w:fldChar w:fldCharType="end"/>
          </w:r>
          <w:r>
            <w:rPr>
              <w:rFonts w:hint="default" w:ascii="Times New Roman" w:hAnsi="Times New Roman" w:eastAsia="宋体" w:cs="Times New Roman"/>
              <w:b/>
              <w:bCs w:val="0"/>
              <w:szCs w:val="24"/>
              <w:lang w:val="zh-CN"/>
            </w:rPr>
            <w:fldChar w:fldCharType="end"/>
          </w:r>
        </w:p>
        <w:p>
          <w:pPr>
            <w:pStyle w:val="12"/>
            <w:tabs>
              <w:tab w:val="right" w:leader="dot" w:pos="8306"/>
            </w:tabs>
            <w:spacing w:line="360" w:lineRule="auto"/>
            <w:rPr>
              <w:b/>
              <w:bCs w:val="0"/>
            </w:rPr>
          </w:pP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_Toc31528 </w:instrText>
          </w:r>
          <w:r>
            <w:rPr>
              <w:rFonts w:hint="default" w:ascii="Times New Roman" w:hAnsi="Times New Roman" w:eastAsia="宋体" w:cs="Times New Roman"/>
              <w:b/>
              <w:bCs w:val="0"/>
              <w:szCs w:val="24"/>
              <w:lang w:val="zh-CN"/>
            </w:rPr>
            <w:fldChar w:fldCharType="separate"/>
          </w:r>
          <w:r>
            <w:rPr>
              <w:rFonts w:hint="eastAsia" w:ascii="Times New Roman" w:hAnsi="Times New Roman" w:eastAsia="宋体" w:cs="Times New Roman"/>
              <w:b/>
              <w:bCs w:val="0"/>
              <w:kern w:val="44"/>
              <w:szCs w:val="24"/>
              <w:lang w:val="en-US" w:eastAsia="zh-CN" w:bidi="ar-SA"/>
            </w:rPr>
            <w:t>7</w:t>
          </w:r>
          <w:r>
            <w:rPr>
              <w:rFonts w:hint="default" w:ascii="Times New Roman" w:hAnsi="Times New Roman" w:eastAsia="宋体" w:cs="Times New Roman"/>
              <w:b/>
              <w:bCs w:val="0"/>
              <w:kern w:val="44"/>
              <w:szCs w:val="24"/>
              <w:lang w:val="en-US" w:eastAsia="zh-CN" w:bidi="ar-SA"/>
            </w:rPr>
            <w:t>.标准研究内容</w:t>
          </w:r>
          <w:r>
            <w:rPr>
              <w:b/>
              <w:bCs w:val="0"/>
            </w:rPr>
            <w:tab/>
          </w:r>
          <w:r>
            <w:rPr>
              <w:b/>
              <w:bCs w:val="0"/>
            </w:rPr>
            <w:fldChar w:fldCharType="begin"/>
          </w:r>
          <w:r>
            <w:rPr>
              <w:b/>
              <w:bCs w:val="0"/>
            </w:rPr>
            <w:instrText xml:space="preserve"> PAGEREF _Toc31528 \h </w:instrText>
          </w:r>
          <w:r>
            <w:rPr>
              <w:b/>
              <w:bCs w:val="0"/>
            </w:rPr>
            <w:fldChar w:fldCharType="separate"/>
          </w:r>
          <w:r>
            <w:rPr>
              <w:b/>
              <w:bCs w:val="0"/>
            </w:rPr>
            <w:t>5</w:t>
          </w:r>
          <w:r>
            <w:rPr>
              <w:b/>
              <w:bCs w:val="0"/>
            </w:rPr>
            <w:fldChar w:fldCharType="end"/>
          </w:r>
          <w:r>
            <w:rPr>
              <w:rFonts w:hint="default" w:ascii="Times New Roman" w:hAnsi="Times New Roman" w:eastAsia="宋体" w:cs="Times New Roman"/>
              <w:b/>
              <w:bCs w:val="0"/>
              <w:szCs w:val="24"/>
              <w:lang w:val="zh-CN"/>
            </w:rPr>
            <w:fldChar w:fldCharType="end"/>
          </w:r>
        </w:p>
        <w:p>
          <w:pPr>
            <w:pStyle w:val="12"/>
            <w:tabs>
              <w:tab w:val="right" w:leader="dot" w:pos="8306"/>
            </w:tabs>
            <w:spacing w:line="360" w:lineRule="auto"/>
            <w:rPr>
              <w:b/>
              <w:bCs w:val="0"/>
            </w:rPr>
          </w:pP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_Toc6632 </w:instrText>
          </w:r>
          <w:r>
            <w:rPr>
              <w:rFonts w:hint="default" w:ascii="Times New Roman" w:hAnsi="Times New Roman" w:eastAsia="宋体" w:cs="Times New Roman"/>
              <w:b/>
              <w:bCs w:val="0"/>
              <w:szCs w:val="24"/>
              <w:lang w:val="zh-CN"/>
            </w:rPr>
            <w:fldChar w:fldCharType="separate"/>
          </w:r>
          <w:r>
            <w:rPr>
              <w:rFonts w:hint="eastAsia" w:ascii="Times New Roman" w:hAnsi="Times New Roman" w:eastAsia="宋体" w:cs="Times New Roman"/>
              <w:b/>
              <w:bCs w:val="0"/>
              <w:kern w:val="44"/>
              <w:szCs w:val="24"/>
              <w:lang w:val="en-US" w:eastAsia="zh-CN" w:bidi="ar-SA"/>
            </w:rPr>
            <w:t xml:space="preserve">8  </w:t>
          </w:r>
          <w:r>
            <w:rPr>
              <w:rFonts w:hint="default" w:ascii="Times New Roman" w:hAnsi="Times New Roman" w:eastAsia="宋体" w:cs="Times New Roman"/>
              <w:b/>
              <w:bCs w:val="0"/>
              <w:kern w:val="44"/>
              <w:szCs w:val="24"/>
              <w:lang w:val="en-US" w:eastAsia="zh-CN" w:bidi="ar-SA"/>
            </w:rPr>
            <w:t>采标情况</w:t>
          </w:r>
          <w:r>
            <w:rPr>
              <w:b/>
              <w:bCs w:val="0"/>
            </w:rPr>
            <w:tab/>
          </w:r>
          <w:r>
            <w:rPr>
              <w:b/>
              <w:bCs w:val="0"/>
            </w:rPr>
            <w:fldChar w:fldCharType="begin"/>
          </w:r>
          <w:r>
            <w:rPr>
              <w:b/>
              <w:bCs w:val="0"/>
            </w:rPr>
            <w:instrText xml:space="preserve"> PAGEREF _Toc6632 \h </w:instrText>
          </w:r>
          <w:r>
            <w:rPr>
              <w:b/>
              <w:bCs w:val="0"/>
            </w:rPr>
            <w:fldChar w:fldCharType="separate"/>
          </w:r>
          <w:r>
            <w:rPr>
              <w:b/>
              <w:bCs w:val="0"/>
            </w:rPr>
            <w:t>14</w:t>
          </w:r>
          <w:r>
            <w:rPr>
              <w:b/>
              <w:bCs w:val="0"/>
            </w:rPr>
            <w:fldChar w:fldCharType="end"/>
          </w:r>
          <w:r>
            <w:rPr>
              <w:rFonts w:hint="default" w:ascii="Times New Roman" w:hAnsi="Times New Roman" w:eastAsia="宋体" w:cs="Times New Roman"/>
              <w:b/>
              <w:bCs w:val="0"/>
              <w:szCs w:val="24"/>
              <w:lang w:val="zh-CN"/>
            </w:rPr>
            <w:fldChar w:fldCharType="end"/>
          </w:r>
        </w:p>
        <w:p>
          <w:pPr>
            <w:pStyle w:val="12"/>
            <w:tabs>
              <w:tab w:val="right" w:leader="dot" w:pos="8306"/>
            </w:tabs>
            <w:spacing w:line="360" w:lineRule="auto"/>
          </w:pPr>
          <w:r>
            <w:rPr>
              <w:rFonts w:hint="default" w:ascii="Times New Roman" w:hAnsi="Times New Roman" w:eastAsia="宋体" w:cs="Times New Roman"/>
              <w:b/>
              <w:bCs w:val="0"/>
              <w:szCs w:val="24"/>
              <w:lang w:val="zh-CN"/>
            </w:rPr>
            <w:fldChar w:fldCharType="begin"/>
          </w:r>
          <w:r>
            <w:rPr>
              <w:rFonts w:hint="default" w:ascii="Times New Roman" w:hAnsi="Times New Roman" w:eastAsia="宋体" w:cs="Times New Roman"/>
              <w:b/>
              <w:bCs w:val="0"/>
              <w:szCs w:val="24"/>
              <w:lang w:val="zh-CN"/>
            </w:rPr>
            <w:instrText xml:space="preserve"> HYPERLINK \l _Toc30717 </w:instrText>
          </w:r>
          <w:r>
            <w:rPr>
              <w:rFonts w:hint="default" w:ascii="Times New Roman" w:hAnsi="Times New Roman" w:eastAsia="宋体" w:cs="Times New Roman"/>
              <w:b/>
              <w:bCs w:val="0"/>
              <w:szCs w:val="24"/>
              <w:lang w:val="zh-CN"/>
            </w:rPr>
            <w:fldChar w:fldCharType="separate"/>
          </w:r>
          <w:r>
            <w:rPr>
              <w:rFonts w:hint="eastAsia" w:ascii="Times New Roman" w:hAnsi="Times New Roman" w:eastAsia="宋体" w:cs="Times New Roman"/>
              <w:b/>
              <w:bCs w:val="0"/>
              <w:kern w:val="44"/>
              <w:szCs w:val="24"/>
              <w:highlight w:val="none"/>
              <w:lang w:val="en-US" w:eastAsia="zh-CN" w:bidi="ar-SA"/>
            </w:rPr>
            <w:t xml:space="preserve">9  </w:t>
          </w:r>
          <w:r>
            <w:rPr>
              <w:rFonts w:hint="default" w:ascii="Times New Roman" w:hAnsi="Times New Roman" w:eastAsia="宋体" w:cs="Times New Roman"/>
              <w:b/>
              <w:bCs w:val="0"/>
              <w:kern w:val="44"/>
              <w:szCs w:val="24"/>
              <w:highlight w:val="none"/>
              <w:lang w:val="en-US" w:eastAsia="zh-CN" w:bidi="ar-SA"/>
            </w:rPr>
            <w:t>其他应予以说明的事项</w:t>
          </w:r>
          <w:r>
            <w:rPr>
              <w:b/>
              <w:bCs w:val="0"/>
            </w:rPr>
            <w:tab/>
          </w:r>
          <w:r>
            <w:rPr>
              <w:b/>
              <w:bCs w:val="0"/>
            </w:rPr>
            <w:fldChar w:fldCharType="begin"/>
          </w:r>
          <w:r>
            <w:rPr>
              <w:b/>
              <w:bCs w:val="0"/>
            </w:rPr>
            <w:instrText xml:space="preserve"> PAGEREF _Toc30717 \h </w:instrText>
          </w:r>
          <w:r>
            <w:rPr>
              <w:b/>
              <w:bCs w:val="0"/>
            </w:rPr>
            <w:fldChar w:fldCharType="separate"/>
          </w:r>
          <w:r>
            <w:rPr>
              <w:b/>
              <w:bCs w:val="0"/>
            </w:rPr>
            <w:t>14</w:t>
          </w:r>
          <w:r>
            <w:rPr>
              <w:b/>
              <w:bCs w:val="0"/>
            </w:rPr>
            <w:fldChar w:fldCharType="end"/>
          </w:r>
          <w:r>
            <w:rPr>
              <w:rFonts w:hint="default" w:ascii="Times New Roman" w:hAnsi="Times New Roman" w:eastAsia="宋体" w:cs="Times New Roman"/>
              <w:b/>
              <w:bCs w:val="0"/>
              <w:szCs w:val="24"/>
              <w:lang w:val="zh-CN"/>
            </w:rPr>
            <w:fldChar w:fldCharType="end"/>
          </w:r>
        </w:p>
        <w:p>
          <w:pPr>
            <w:pageBreakBefore w:val="0"/>
            <w:kinsoku/>
            <w:wordWrap/>
            <w:topLinePunct w:val="0"/>
            <w:bidi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bCs/>
              <w:szCs w:val="24"/>
              <w:lang w:val="zh-CN"/>
            </w:rPr>
            <w:fldChar w:fldCharType="end"/>
          </w:r>
        </w:p>
      </w:sdtContent>
    </w:sdt>
    <w:p>
      <w:pPr>
        <w:pageBreakBefore w:val="0"/>
        <w:kinsoku/>
        <w:wordWrap/>
        <w:topLinePunct w:val="0"/>
        <w:bidi w:val="0"/>
        <w:spacing w:line="360" w:lineRule="auto"/>
        <w:ind w:left="480" w:hanging="480" w:hangingChars="200"/>
        <w:jc w:val="left"/>
        <w:textAlignment w:val="auto"/>
        <w:rPr>
          <w:rFonts w:hint="default" w:ascii="Times New Roman" w:hAnsi="Times New Roman" w:eastAsia="宋体" w:cs="Times New Roman"/>
          <w:sz w:val="24"/>
          <w:szCs w:val="24"/>
        </w:rPr>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pPr>
    </w:p>
    <w:p>
      <w:pPr>
        <w:pageBreakBefore w:val="0"/>
        <w:kinsoku/>
        <w:wordWrap/>
        <w:topLinePunct w:val="0"/>
        <w:bidi w:val="0"/>
        <w:spacing w:line="360" w:lineRule="auto"/>
        <w:ind w:left="480" w:hanging="480" w:hangingChars="200"/>
        <w:jc w:val="left"/>
        <w:textAlignment w:val="auto"/>
        <w:rPr>
          <w:rFonts w:hint="default" w:ascii="Times New Roman" w:hAnsi="Times New Roman" w:eastAsia="宋体" w:cs="Times New Roman"/>
          <w:sz w:val="24"/>
          <w:szCs w:val="24"/>
        </w:rPr>
      </w:pPr>
    </w:p>
    <w:p>
      <w:pPr>
        <w:pageBreakBefore w:val="0"/>
        <w:widowControl/>
        <w:kinsoku/>
        <w:wordWrap/>
        <w:overflowPunct/>
        <w:topLinePunct w:val="0"/>
        <w:bidi w:val="0"/>
        <w:adjustRightInd/>
        <w:snapToGrid/>
        <w:spacing w:line="24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r>
        <w:rPr>
          <w:rFonts w:hint="default" w:ascii="Times New Roman" w:hAnsi="Times New Roman" w:eastAsia="宋体" w:cs="Times New Roman"/>
          <w:sz w:val="24"/>
          <w:szCs w:val="24"/>
        </w:rPr>
        <w:t xml:space="preserve"> </w:t>
      </w:r>
      <w:bookmarkStart w:id="0" w:name="_Toc39_WPSOffice_Level1"/>
    </w:p>
    <w:bookmarkEnd w:id="0"/>
    <w:p>
      <w:pPr>
        <w:pageBreakBefore w:val="0"/>
        <w:kinsoku/>
        <w:wordWrap/>
        <w:overflowPunct/>
        <w:topLinePunct w:val="0"/>
        <w:bidi w:val="0"/>
        <w:adjustRightInd/>
        <w:snapToGrid/>
        <w:spacing w:line="240" w:lineRule="auto"/>
        <w:jc w:val="center"/>
        <w:textAlignment w:val="auto"/>
        <w:rPr>
          <w:rFonts w:hint="eastAsia" w:ascii="黑体" w:hAnsi="黑体" w:eastAsia="黑体" w:cs="黑体"/>
          <w:sz w:val="24"/>
          <w:szCs w:val="24"/>
        </w:rPr>
      </w:pPr>
      <w:bookmarkStart w:id="1" w:name="_Toc12533_WPSOffice_Level1"/>
      <w:r>
        <w:rPr>
          <w:rFonts w:hint="eastAsia" w:ascii="黑体" w:hAnsi="黑体" w:eastAsia="黑体" w:cs="黑体"/>
          <w:sz w:val="24"/>
          <w:szCs w:val="24"/>
        </w:rPr>
        <w:t>温室气体碳同位素手工监测技术规范</w:t>
      </w:r>
    </w:p>
    <w:p>
      <w:pPr>
        <w:pageBreakBefore w:val="0"/>
        <w:kinsoku/>
        <w:wordWrap/>
        <w:overflowPunct/>
        <w:topLinePunct w:val="0"/>
        <w:bidi w:val="0"/>
        <w:adjustRightInd/>
        <w:snapToGrid/>
        <w:spacing w:line="240" w:lineRule="auto"/>
        <w:jc w:val="center"/>
        <w:textAlignment w:val="auto"/>
        <w:rPr>
          <w:rFonts w:hint="eastAsia" w:ascii="黑体" w:hAnsi="黑体" w:eastAsia="黑体" w:cs="黑体"/>
          <w:sz w:val="24"/>
          <w:szCs w:val="24"/>
        </w:rPr>
      </w:pPr>
      <w:r>
        <w:rPr>
          <w:rFonts w:hint="eastAsia" w:ascii="黑体" w:hAnsi="黑体" w:eastAsia="黑体" w:cs="黑体"/>
          <w:sz w:val="24"/>
          <w:szCs w:val="24"/>
        </w:rPr>
        <w:t>编制说明</w:t>
      </w:r>
      <w:bookmarkEnd w:id="1"/>
    </w:p>
    <w:p>
      <w:pPr>
        <w:pageBreakBefore w:val="0"/>
        <w:kinsoku/>
        <w:wordWrap/>
        <w:overflowPunct/>
        <w:topLinePunct w:val="0"/>
        <w:bidi w:val="0"/>
        <w:adjustRightInd/>
        <w:snapToGrid/>
        <w:spacing w:line="240" w:lineRule="auto"/>
        <w:jc w:val="center"/>
        <w:textAlignment w:val="auto"/>
        <w:rPr>
          <w:rFonts w:hint="eastAsia" w:ascii="楷体_GB2312" w:hAnsi="楷体_GB2312" w:eastAsia="楷体_GB2312" w:cs="楷体_GB2312"/>
          <w:sz w:val="24"/>
          <w:szCs w:val="24"/>
        </w:rPr>
      </w:pPr>
      <w:bookmarkStart w:id="2" w:name="_Toc5353_WPSOffice_Level1"/>
      <w:r>
        <w:rPr>
          <w:rFonts w:hint="eastAsia" w:ascii="楷体_GB2312" w:hAnsi="楷体_GB2312" w:eastAsia="楷体_GB2312" w:cs="楷体_GB2312"/>
          <w:sz w:val="24"/>
          <w:szCs w:val="24"/>
        </w:rPr>
        <w:t>(征求意见稿)</w:t>
      </w:r>
      <w:bookmarkEnd w:id="2"/>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1"/>
          <w:szCs w:val="21"/>
        </w:rPr>
      </w:pPr>
      <w:bookmarkStart w:id="3" w:name="_Toc8640"/>
      <w:bookmarkStart w:id="4" w:name="_Toc12533_WPSOffice_Level2"/>
      <w:r>
        <w:rPr>
          <w:rFonts w:hint="default" w:ascii="Times New Roman" w:hAnsi="Times New Roman" w:eastAsia="宋体" w:cs="Times New Roman"/>
          <w:b/>
          <w:bCs/>
          <w:kern w:val="44"/>
          <w:sz w:val="21"/>
          <w:szCs w:val="21"/>
          <w:lang w:val="en-US" w:eastAsia="zh-CN" w:bidi="ar-SA"/>
        </w:rPr>
        <w:t>1</w:t>
      </w:r>
      <w:r>
        <w:rPr>
          <w:rFonts w:hint="eastAsia" w:ascii="Times New Roman" w:hAnsi="Times New Roman" w:eastAsia="宋体" w:cs="Times New Roman"/>
          <w:b/>
          <w:bCs/>
          <w:kern w:val="44"/>
          <w:sz w:val="21"/>
          <w:szCs w:val="21"/>
          <w:lang w:val="en-US" w:eastAsia="zh-CN" w:bidi="ar-SA"/>
        </w:rPr>
        <w:t xml:space="preserve">  </w:t>
      </w:r>
      <w:r>
        <w:rPr>
          <w:rFonts w:hint="default" w:ascii="Times New Roman" w:hAnsi="Times New Roman" w:eastAsia="宋体" w:cs="Times New Roman"/>
          <w:sz w:val="21"/>
          <w:szCs w:val="21"/>
        </w:rPr>
        <w:t>任务来源</w:t>
      </w:r>
      <w:bookmarkEnd w:id="3"/>
      <w:bookmarkEnd w:id="4"/>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5月，根据陕西省市场监督管理局《关于下达2023年陕西省地方标准制修订项目计划的通知》（陕市监函〔2023〕410号），下达了《温室气体高精度自动监测技术规范》标准制修订项目任务，项目编号为SDBXM044-2023。项目承担单位：陕西省环境监测中心站和中国科学院地球环境研究所。</w:t>
      </w:r>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44"/>
          <w:sz w:val="21"/>
          <w:szCs w:val="21"/>
          <w:lang w:val="en-US" w:eastAsia="zh-CN" w:bidi="ar-SA"/>
        </w:rPr>
      </w:pPr>
      <w:bookmarkStart w:id="5" w:name="_Toc25419"/>
      <w:r>
        <w:rPr>
          <w:rFonts w:hint="default" w:ascii="Times New Roman" w:hAnsi="Times New Roman" w:eastAsia="宋体" w:cs="Times New Roman"/>
          <w:b/>
          <w:bCs/>
          <w:kern w:val="44"/>
          <w:sz w:val="21"/>
          <w:szCs w:val="21"/>
          <w:lang w:val="en-US" w:eastAsia="zh-CN" w:bidi="ar-SA"/>
        </w:rPr>
        <w:t>2</w:t>
      </w:r>
      <w:r>
        <w:rPr>
          <w:rFonts w:hint="eastAsia" w:ascii="Times New Roman" w:hAnsi="Times New Roman" w:eastAsia="宋体" w:cs="Times New Roman"/>
          <w:b/>
          <w:bCs/>
          <w:kern w:val="44"/>
          <w:sz w:val="21"/>
          <w:szCs w:val="21"/>
          <w:lang w:val="en-US" w:eastAsia="zh-CN" w:bidi="ar-SA"/>
        </w:rPr>
        <w:t xml:space="preserve">  </w:t>
      </w:r>
      <w:r>
        <w:rPr>
          <w:rFonts w:hint="default" w:ascii="Times New Roman" w:hAnsi="Times New Roman" w:eastAsia="宋体" w:cs="Times New Roman"/>
          <w:b/>
          <w:bCs/>
          <w:kern w:val="44"/>
          <w:sz w:val="21"/>
          <w:szCs w:val="21"/>
          <w:lang w:val="en-US" w:eastAsia="zh-CN" w:bidi="ar-SA"/>
        </w:rPr>
        <w:t>目的意义</w:t>
      </w:r>
      <w:bookmarkEnd w:id="5"/>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（1）双碳战略目标是我国应对全球气候变化的重大战略需求</w:t>
      </w:r>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联合国政府间气候变化委员会相关报告指出，与 1850~1900 年相比全球平均温升幅度已高达 1.1 °C，陆地生态系统和北半球高纬度地区升温更加明显，日益加剧的全球气候暖化导致极地冰川消融、海平面上升、极端天气频发、物种加速灭绝，严重威胁人类生存发展。然而，世界人口数量的不断上升和各国经济的持续发展导致全球温室气体排放总量有增无减，最新的联合国气候报告指出 2019 年全球二氧化碳（CO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）排放已高达 380 亿吨。</w:t>
      </w:r>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中国作为全球最大的化石能源消费国和温室气体排放国，面临着巨大的国际减排压力。早在 2015 年《巴黎协定》谈判过程中，我国就向联合国递交了关于温室气体减排的 NDCs 目标，承诺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碳排放总量在 2030 年达到峰值并争取尽早达峰；单位国内生产总值CO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排放（即碳排放强度）较 2005 年下降 60%~65%</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，初步形成了碳排放强度下降和总量达峰的</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双重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目标，之后，为积极响应联合国关于更新与强化各国 NDCs 目标的号召，国家主席习近平在 2020 年 9 月召开的联合国大会上承诺我国将在 2060年前实现碳中和。在同年 12 月召开的气候雄心峰会上宣布，中国将提高国家自主贡献力度，采取更加有力的政策和措施，力争2030年前二氧化碳排放达到峰值，努力争取2060年前实现碳中和。</w:t>
      </w:r>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（2）建立碳监测技术规范是服务中省生态环境总体部署的需要</w:t>
      </w:r>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共中央、国务院印发的《关于完整准确全面贯彻新发展理念做好碳达峰碳中和工作的意见》，使得我国在推进碳达峰、碳中和工作方面有了明确的顶层思路、清晰的发展目标和具体的任务安排，也将为推进全球气候治理、构建人类命运共同体提供重要支撑。生态环境部印发的《</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十四五</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生态保护监管规划》明确指出，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推进减污降碳协同增效。提升生态系统碳汇功能，强化生态保护与降碳协同增效。落实碳达峰、碳中和目标要求</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。生态环境部印发的《 “十四五”生态环境监测规划》明确指出，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要补齐谈监测技术短板。构建温室气体监测技术体系，加强主要温室气体及其同位素监测分析技术研究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。陕西省委省政府印发《关于深入打好污染防治攻坚战的若干措施》要求， 构建全省碳达峰碳中和</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1+N</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政策体系。</w:t>
      </w:r>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（3）建立碳同位素手工监测技术规范是健全碳监测技术体系的迫切需要</w:t>
      </w:r>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碳监测技术是掌握其分布特征、变化趋势以及源和汇的构成、性质和强度等的基础，是效应评估的依据和减排措施制定的标尺，也是全面掌握碳排放及其环境、气候效应，预测其未来变化的重要保障。此外，随着国家“碳达峰”和“碳中和”战略的实施， 碳排放量核算法存在计算误差大、数据延后等的问题，为了提高核算精度，碳的准确监测与评估将成为降碳目标的根本前提。目前国内尚未建立碳监测技术体系，拟起草的碳同位素手工监测技术规范可填补该领域空白。</w:t>
      </w:r>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起草的碳同位素手工监测方法是碳自动监测设备性能比对测试的基准参考；可在自动监测设备出现故障时，及时弥补监测数据的缺失，提高监测数据有效性；同时还是用于区分人为源与自然源，并实现减小外来源对监测数据的影响不可替代的方法。只有完善的手工监测技术规范作为保障，才能更好的发挥碳同位素手工监测技术的基准性、数据的准确性。综上，该技术规范最终将成为碳监测技术体系的重要组成。</w:t>
      </w:r>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bCs/>
          <w:kern w:val="44"/>
          <w:sz w:val="21"/>
          <w:szCs w:val="21"/>
          <w:lang w:val="en-US" w:eastAsia="zh-CN" w:bidi="ar-SA"/>
        </w:rPr>
      </w:pPr>
      <w:bookmarkStart w:id="6" w:name="_Toc9203"/>
      <w:r>
        <w:rPr>
          <w:rFonts w:hint="eastAsia" w:ascii="Times New Roman" w:hAnsi="Times New Roman" w:eastAsia="宋体" w:cs="Times New Roman"/>
          <w:b/>
          <w:bCs/>
          <w:kern w:val="44"/>
          <w:sz w:val="21"/>
          <w:szCs w:val="21"/>
          <w:lang w:val="en-US" w:eastAsia="zh-CN" w:bidi="ar-SA"/>
        </w:rPr>
        <w:t>3  国内外研究现状</w:t>
      </w:r>
      <w:bookmarkEnd w:id="6"/>
    </w:p>
    <w:p>
      <w:pPr>
        <w:pageBreakBefore w:val="0"/>
        <w:kinsoku/>
        <w:wordWrap/>
        <w:overflowPunct/>
        <w:topLinePunct w:val="0"/>
        <w:bidi w:val="0"/>
        <w:adjustRightInd/>
        <w:snapToGrid/>
        <w:spacing w:line="240" w:lineRule="auto"/>
        <w:ind w:firstLine="420" w:firstLineChars="0"/>
        <w:textAlignment w:val="auto"/>
        <w:rPr>
          <w:rFonts w:hint="default" w:ascii="Times New Roman" w:hAnsi="Times New Roman" w:eastAsia="宋体" w:cs="Times New Roman"/>
          <w:color w:val="auto"/>
          <w:sz w:val="21"/>
          <w:szCs w:val="21"/>
        </w:rPr>
      </w:pPr>
      <w:bookmarkStart w:id="7" w:name="_Toc4756"/>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是</w:t>
      </w:r>
      <w:r>
        <w:rPr>
          <w:rFonts w:hint="eastAsia" w:ascii="Times New Roman" w:hAnsi="Times New Roman" w:eastAsia="宋体" w:cs="Times New Roman"/>
          <w:color w:val="auto"/>
          <w:sz w:val="21"/>
          <w:szCs w:val="21"/>
          <w:lang w:val="en-US" w:eastAsia="zh-CN"/>
        </w:rPr>
        <w:t>影响</w:t>
      </w:r>
      <w:r>
        <w:rPr>
          <w:rFonts w:hint="default" w:ascii="Times New Roman" w:hAnsi="Times New Roman" w:eastAsia="宋体" w:cs="Times New Roman"/>
          <w:color w:val="auto"/>
          <w:sz w:val="21"/>
          <w:szCs w:val="21"/>
        </w:rPr>
        <w:t>全球气候变化的最大贡献者。天然放射性碳（</w:t>
      </w:r>
      <w:r>
        <w:rPr>
          <w:rFonts w:hint="default" w:ascii="Times New Roman" w:hAnsi="Times New Roman" w:eastAsia="宋体" w:cs="Times New Roman"/>
          <w:color w:val="auto"/>
          <w:sz w:val="21"/>
          <w:szCs w:val="21"/>
          <w:vertAlign w:val="superscript"/>
        </w:rPr>
        <w:t>14</w:t>
      </w:r>
      <w:r>
        <w:rPr>
          <w:rFonts w:hint="default" w:ascii="Times New Roman" w:hAnsi="Times New Roman" w:eastAsia="宋体" w:cs="Times New Roman"/>
          <w:color w:val="auto"/>
          <w:sz w:val="21"/>
          <w:szCs w:val="21"/>
        </w:rPr>
        <w:t>C ）是由高层大气中的宇宙射线产生的，其放射性半衰期为5730±40年。</w:t>
      </w:r>
      <w:r>
        <w:rPr>
          <w:rFonts w:hint="eastAsia" w:ascii="Times New Roman" w:hAnsi="Times New Roman" w:eastAsia="宋体" w:cs="Times New Roman"/>
          <w:color w:val="auto"/>
          <w:sz w:val="21"/>
          <w:szCs w:val="21"/>
          <w:lang w:val="en-US" w:eastAsia="zh-CN"/>
        </w:rPr>
        <w:t>在化石燃料中的放射性碳</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vertAlign w:val="superscript"/>
        </w:rPr>
        <w:t>14</w:t>
      </w:r>
      <w:r>
        <w:rPr>
          <w:rFonts w:hint="default" w:ascii="Times New Roman" w:hAnsi="Times New Roman" w:eastAsia="宋体" w:cs="Times New Roman"/>
          <w:color w:val="auto"/>
          <w:sz w:val="21"/>
          <w:szCs w:val="21"/>
        </w:rPr>
        <w:t>C ）</w:t>
      </w:r>
      <w:r>
        <w:rPr>
          <w:rFonts w:hint="eastAsia" w:ascii="Times New Roman" w:hAnsi="Times New Roman" w:eastAsia="宋体" w:cs="Times New Roman"/>
          <w:color w:val="auto"/>
          <w:sz w:val="21"/>
          <w:szCs w:val="21"/>
          <w:lang w:val="en-US" w:eastAsia="zh-CN"/>
        </w:rPr>
        <w:t>在化石燃料(如煤和石油)中完全衰变，监测大气中</w:t>
      </w:r>
      <w:r>
        <w:rPr>
          <w:rFonts w:hint="default" w:ascii="Times New Roman" w:hAnsi="Times New Roman" w:eastAsia="宋体" w:cs="Times New Roman"/>
          <w:color w:val="auto"/>
          <w:sz w:val="21"/>
          <w:szCs w:val="21"/>
        </w:rPr>
        <w:t>大气中</w:t>
      </w:r>
      <w:r>
        <w:rPr>
          <w:rFonts w:hint="default" w:ascii="Times New Roman" w:hAnsi="Times New Roman" w:eastAsia="宋体" w:cs="Times New Roman"/>
          <w:color w:val="auto"/>
          <w:sz w:val="21"/>
          <w:szCs w:val="21"/>
          <w:vertAlign w:val="superscript"/>
        </w:rPr>
        <w:t>14</w:t>
      </w:r>
      <w:r>
        <w:rPr>
          <w:rFonts w:hint="default" w:ascii="Times New Roman" w:hAnsi="Times New Roman" w:eastAsia="宋体" w:cs="Times New Roman"/>
          <w:color w:val="auto"/>
          <w:sz w:val="21"/>
          <w:szCs w:val="21"/>
        </w:rPr>
        <w:t xml:space="preserve"> 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lang w:val="en-US" w:eastAsia="zh-CN"/>
        </w:rPr>
        <w:t>浓度的变化情况，能够客观反映出化石源</w:t>
      </w: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2</w:t>
      </w:r>
      <w:r>
        <w:rPr>
          <w:rFonts w:hint="eastAsia" w:ascii="Times New Roman" w:hAnsi="Times New Roman" w:eastAsia="宋体" w:cs="Times New Roman"/>
          <w:color w:val="auto"/>
          <w:sz w:val="21"/>
          <w:szCs w:val="21"/>
          <w:vertAlign w:val="baseline"/>
          <w:lang w:val="en-US" w:eastAsia="zh-CN"/>
        </w:rPr>
        <w:t>排放强度</w:t>
      </w:r>
      <w:r>
        <w:rPr>
          <w:rFonts w:hint="default" w:ascii="Times New Roman" w:hAnsi="Times New Roman" w:eastAsia="宋体" w:cs="Times New Roman"/>
          <w:color w:val="auto"/>
          <w:sz w:val="21"/>
          <w:szCs w:val="21"/>
        </w:rPr>
        <w:t>。使用</w:t>
      </w:r>
      <w:r>
        <w:rPr>
          <w:rFonts w:hint="default" w:ascii="Times New Roman" w:hAnsi="Times New Roman" w:eastAsia="宋体" w:cs="Times New Roman"/>
          <w:color w:val="auto"/>
          <w:sz w:val="21"/>
          <w:szCs w:val="21"/>
          <w:vertAlign w:val="superscript"/>
        </w:rPr>
        <w:t>14</w:t>
      </w:r>
      <w:r>
        <w:rPr>
          <w:rFonts w:hint="default" w:ascii="Times New Roman" w:hAnsi="Times New Roman" w:eastAsia="宋体" w:cs="Times New Roman"/>
          <w:color w:val="auto"/>
          <w:sz w:val="21"/>
          <w:szCs w:val="21"/>
        </w:rPr>
        <w:t>CO</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追踪人为排放</w:t>
      </w:r>
      <w:r>
        <w:rPr>
          <w:rFonts w:hint="eastAsia" w:ascii="Times New Roman" w:hAnsi="Times New Roman" w:eastAsia="宋体" w:cs="Times New Roman"/>
          <w:color w:val="auto"/>
          <w:sz w:val="21"/>
          <w:szCs w:val="21"/>
          <w:lang w:val="en-US" w:eastAsia="zh-CN"/>
        </w:rPr>
        <w:t>源</w:t>
      </w:r>
      <w:r>
        <w:rPr>
          <w:rFonts w:hint="default" w:ascii="Times New Roman" w:hAnsi="Times New Roman" w:eastAsia="宋体" w:cs="Times New Roman"/>
          <w:color w:val="auto"/>
          <w:sz w:val="21"/>
          <w:szCs w:val="21"/>
        </w:rPr>
        <w:t>有助于空气质量</w:t>
      </w:r>
      <w:r>
        <w:rPr>
          <w:rFonts w:hint="eastAsia" w:ascii="Times New Roman" w:hAnsi="Times New Roman" w:eastAsia="宋体" w:cs="Times New Roman"/>
          <w:color w:val="auto"/>
          <w:sz w:val="21"/>
          <w:szCs w:val="21"/>
          <w:lang w:val="en-US" w:eastAsia="zh-CN"/>
        </w:rPr>
        <w:t>的</w:t>
      </w:r>
      <w:r>
        <w:rPr>
          <w:rFonts w:hint="default" w:ascii="Times New Roman" w:hAnsi="Times New Roman" w:eastAsia="宋体" w:cs="Times New Roman"/>
          <w:color w:val="auto"/>
          <w:sz w:val="21"/>
          <w:szCs w:val="21"/>
        </w:rPr>
        <w:t>改善，</w:t>
      </w:r>
      <w:r>
        <w:rPr>
          <w:rFonts w:hint="eastAsia" w:ascii="Times New Roman" w:hAnsi="Times New Roman" w:eastAsia="宋体" w:cs="Times New Roman"/>
          <w:color w:val="auto"/>
          <w:sz w:val="21"/>
          <w:szCs w:val="21"/>
          <w:lang w:val="en-US" w:eastAsia="zh-CN"/>
        </w:rPr>
        <w:t>同时可以</w:t>
      </w:r>
      <w:r>
        <w:rPr>
          <w:rFonts w:hint="default" w:ascii="Times New Roman" w:hAnsi="Times New Roman" w:eastAsia="宋体" w:cs="Times New Roman"/>
          <w:color w:val="auto"/>
          <w:sz w:val="21"/>
          <w:szCs w:val="21"/>
        </w:rPr>
        <w:t>持续减少碳排放。加速器质谱法是一种高度灵敏和精确的分析技术，用于测量给定样本中稀有同位素的丰度。它特别适用于探测和定量天然丰度极低的同位素，如放射性碳(</w:t>
      </w:r>
      <w:r>
        <w:rPr>
          <w:rFonts w:hint="default" w:ascii="Times New Roman" w:hAnsi="Times New Roman" w:eastAsia="宋体" w:cs="Times New Roman"/>
          <w:color w:val="auto"/>
          <w:sz w:val="21"/>
          <w:szCs w:val="21"/>
          <w:vertAlign w:val="superscript"/>
        </w:rPr>
        <w:t>14</w:t>
      </w:r>
      <w:r>
        <w:rPr>
          <w:rFonts w:hint="default" w:ascii="Times New Roman" w:hAnsi="Times New Roman" w:eastAsia="宋体" w:cs="Times New Roman"/>
          <w:color w:val="auto"/>
          <w:sz w:val="21"/>
          <w:szCs w:val="21"/>
        </w:rPr>
        <w:t>C)和其他放射性同位素。</w:t>
      </w:r>
    </w:p>
    <w:p>
      <w:pPr>
        <w:pageBreakBefore w:val="0"/>
        <w:kinsoku/>
        <w:wordWrap/>
        <w:overflowPunct/>
        <w:topLinePunct w:val="0"/>
        <w:bidi w:val="0"/>
        <w:adjustRightInd/>
        <w:snapToGrid/>
        <w:spacing w:line="240" w:lineRule="auto"/>
        <w:ind w:firstLine="420" w:firstLineChars="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放射性碳(</w:t>
      </w:r>
      <w:r>
        <w:rPr>
          <w:rFonts w:hint="default" w:ascii="Times New Roman" w:hAnsi="Times New Roman" w:eastAsia="宋体" w:cs="Times New Roman"/>
          <w:color w:val="auto"/>
          <w:sz w:val="21"/>
          <w:szCs w:val="21"/>
          <w:vertAlign w:val="superscript"/>
        </w:rPr>
        <w:t>14</w:t>
      </w:r>
      <w:r>
        <w:rPr>
          <w:rFonts w:hint="default" w:ascii="Times New Roman" w:hAnsi="Times New Roman" w:eastAsia="宋体" w:cs="Times New Roman"/>
          <w:color w:val="auto"/>
          <w:sz w:val="21"/>
          <w:szCs w:val="21"/>
        </w:rPr>
        <w:t>C)</w:t>
      </w:r>
      <w:r>
        <w:rPr>
          <w:rFonts w:hint="eastAsia" w:ascii="Times New Roman" w:hAnsi="Times New Roman" w:eastAsia="宋体" w:cs="Times New Roman"/>
          <w:color w:val="auto"/>
          <w:sz w:val="21"/>
          <w:szCs w:val="21"/>
          <w:lang w:val="en-US" w:eastAsia="zh-CN"/>
        </w:rPr>
        <w:t>监测已广泛应用于环境空气中的二氧化碳源分析。1954年</w:t>
      </w:r>
      <w:r>
        <w:rPr>
          <w:rFonts w:hint="default" w:ascii="Times New Roman" w:hAnsi="Times New Roman" w:eastAsia="宋体" w:cs="Times New Roman"/>
          <w:color w:val="auto"/>
          <w:sz w:val="21"/>
          <w:szCs w:val="21"/>
          <w:lang w:val="en-US" w:eastAsia="zh-CN"/>
        </w:rPr>
        <w:t>在新西兰建立</w:t>
      </w:r>
      <w:r>
        <w:rPr>
          <w:rFonts w:hint="eastAsia" w:ascii="Times New Roman" w:hAnsi="Times New Roman" w:eastAsia="宋体" w:cs="Times New Roman"/>
          <w:color w:val="auto"/>
          <w:sz w:val="21"/>
          <w:szCs w:val="21"/>
          <w:lang w:val="en-US" w:eastAsia="zh-CN"/>
        </w:rPr>
        <w:t>首个用于监测大气</w:t>
      </w:r>
      <w:r>
        <w:rPr>
          <w:rFonts w:hint="default" w:ascii="Times New Roman" w:hAnsi="Times New Roman" w:eastAsia="宋体" w:cs="Times New Roman"/>
          <w:color w:val="auto"/>
          <w:sz w:val="21"/>
          <w:szCs w:val="21"/>
          <w:vertAlign w:val="superscript"/>
          <w:lang w:val="en-US" w:eastAsia="zh-CN"/>
        </w:rPr>
        <w:t xml:space="preserve">14 </w:t>
      </w:r>
      <w:r>
        <w:rPr>
          <w:rFonts w:hint="default" w:ascii="Times New Roman" w:hAnsi="Times New Roman" w:eastAsia="宋体" w:cs="Times New Roman"/>
          <w:color w:val="auto"/>
          <w:sz w:val="21"/>
          <w:szCs w:val="21"/>
          <w:lang w:val="en-US" w:eastAsia="zh-CN"/>
        </w:rPr>
        <w:t>CO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的背景点观测站</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1959年在欧洲建立</w:t>
      </w:r>
      <w:r>
        <w:rPr>
          <w:rFonts w:hint="default" w:ascii="Times New Roman" w:hAnsi="Times New Roman" w:eastAsia="宋体" w:cs="Times New Roman"/>
          <w:color w:val="auto"/>
          <w:sz w:val="21"/>
          <w:szCs w:val="21"/>
          <w:vertAlign w:val="superscript"/>
          <w:lang w:val="en-US" w:eastAsia="zh-CN"/>
        </w:rPr>
        <w:t xml:space="preserve">14 </w:t>
      </w:r>
      <w:r>
        <w:rPr>
          <w:rFonts w:hint="default" w:ascii="Times New Roman" w:hAnsi="Times New Roman" w:eastAsia="宋体" w:cs="Times New Roman"/>
          <w:color w:val="auto"/>
          <w:sz w:val="21"/>
          <w:szCs w:val="21"/>
          <w:lang w:val="en-US" w:eastAsia="zh-CN"/>
        </w:rPr>
        <w:t>CO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的背景观测站</w:t>
      </w:r>
      <w:r>
        <w:rPr>
          <w:rFonts w:hint="eastAsia" w:ascii="Times New Roman" w:hAnsi="Times New Roman" w:eastAsia="宋体" w:cs="Times New Roman"/>
          <w:color w:val="auto"/>
          <w:sz w:val="21"/>
          <w:szCs w:val="21"/>
          <w:lang w:val="en-US" w:eastAsia="zh-CN"/>
        </w:rPr>
        <w:t>。截至目前</w:t>
      </w:r>
      <w:r>
        <w:rPr>
          <w:rFonts w:hint="default" w:ascii="Times New Roman" w:hAnsi="Times New Roman" w:eastAsia="宋体" w:cs="Times New Roman"/>
          <w:color w:val="auto"/>
          <w:sz w:val="21"/>
          <w:szCs w:val="21"/>
          <w:lang w:val="en-US" w:eastAsia="zh-CN"/>
        </w:rPr>
        <w:t>，美国国家海洋大气局</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海德堡大学环境物理学研究所（海德堡大学）</w:t>
      </w:r>
      <w:r>
        <w:rPr>
          <w:rFonts w:hint="eastAsia" w:ascii="Times New Roman" w:hAnsi="Times New Roman" w:eastAsia="宋体" w:cs="Times New Roman"/>
          <w:color w:val="auto"/>
          <w:sz w:val="21"/>
          <w:szCs w:val="21"/>
          <w:lang w:val="en-US" w:eastAsia="zh-CN"/>
        </w:rPr>
        <w:t>、欧洲</w:t>
      </w:r>
      <w:r>
        <w:rPr>
          <w:rFonts w:hint="default" w:ascii="Times New Roman" w:hAnsi="Times New Roman" w:eastAsia="宋体" w:cs="Times New Roman"/>
          <w:color w:val="auto"/>
          <w:sz w:val="21"/>
          <w:szCs w:val="21"/>
          <w:lang w:val="en-US" w:eastAsia="zh-CN"/>
        </w:rPr>
        <w:t>综合碳观测系统</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新西兰国家水和大气研究所</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世界气象组织全球大气监测网</w:t>
      </w:r>
      <w:r>
        <w:rPr>
          <w:rFonts w:hint="eastAsia" w:ascii="Times New Roman" w:hAnsi="Times New Roman" w:eastAsia="宋体" w:cs="Times New Roman"/>
          <w:color w:val="auto"/>
          <w:sz w:val="21"/>
          <w:szCs w:val="21"/>
          <w:lang w:val="en-US" w:eastAsia="zh-CN"/>
        </w:rPr>
        <w:t>以及</w:t>
      </w:r>
      <w:r>
        <w:rPr>
          <w:rFonts w:hint="default" w:ascii="Times New Roman" w:hAnsi="Times New Roman" w:eastAsia="宋体" w:cs="Times New Roman"/>
          <w:color w:val="auto"/>
          <w:sz w:val="21"/>
          <w:szCs w:val="21"/>
          <w:lang w:val="en-US" w:eastAsia="zh-CN"/>
        </w:rPr>
        <w:t>中国科学院地球环境研究所</w:t>
      </w:r>
      <w:r>
        <w:rPr>
          <w:rFonts w:hint="eastAsia" w:ascii="Times New Roman" w:hAnsi="Times New Roman" w:eastAsia="宋体" w:cs="Times New Roman"/>
          <w:color w:val="auto"/>
          <w:sz w:val="21"/>
          <w:szCs w:val="21"/>
          <w:lang w:val="en-US" w:eastAsia="zh-CN"/>
        </w:rPr>
        <w:t>等机构和组织已经在全球范围内建设30余个</w:t>
      </w:r>
      <w:r>
        <w:rPr>
          <w:rFonts w:hint="default" w:ascii="Times New Roman" w:hAnsi="Times New Roman" w:eastAsia="宋体" w:cs="Times New Roman"/>
          <w:color w:val="auto"/>
          <w:sz w:val="21"/>
          <w:szCs w:val="21"/>
          <w:lang w:val="en-US" w:eastAsia="zh-CN"/>
        </w:rPr>
        <w:t>背景</w:t>
      </w:r>
      <w:r>
        <w:rPr>
          <w:rFonts w:hint="eastAsia" w:ascii="Times New Roman" w:hAnsi="Times New Roman" w:eastAsia="宋体" w:cs="Times New Roman"/>
          <w:color w:val="auto"/>
          <w:sz w:val="21"/>
          <w:szCs w:val="21"/>
          <w:lang w:val="en-US" w:eastAsia="zh-CN"/>
        </w:rPr>
        <w:t>点的</w:t>
      </w:r>
      <w:r>
        <w:rPr>
          <w:rFonts w:hint="default" w:ascii="Times New Roman" w:hAnsi="Times New Roman" w:eastAsia="宋体" w:cs="Times New Roman"/>
          <w:color w:val="auto"/>
          <w:sz w:val="21"/>
          <w:szCs w:val="21"/>
          <w:vertAlign w:val="superscript"/>
          <w:lang w:val="en-US" w:eastAsia="zh-CN"/>
        </w:rPr>
        <w:t xml:space="preserve">14 </w:t>
      </w:r>
      <w:r>
        <w:rPr>
          <w:rFonts w:hint="default" w:ascii="Times New Roman" w:hAnsi="Times New Roman" w:eastAsia="宋体" w:cs="Times New Roman"/>
          <w:color w:val="auto"/>
          <w:sz w:val="21"/>
          <w:szCs w:val="21"/>
          <w:lang w:val="en-US" w:eastAsia="zh-CN"/>
        </w:rPr>
        <w:t>CO</w:t>
      </w:r>
      <w:r>
        <w:rPr>
          <w:rFonts w:hint="default"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lang w:val="en-US" w:eastAsia="zh-CN"/>
        </w:rPr>
        <w:t>监测</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随着采用无人机采样技术的发展，</w:t>
      </w:r>
      <w:r>
        <w:rPr>
          <w:rFonts w:hint="default" w:ascii="Times New Roman" w:hAnsi="Times New Roman" w:eastAsia="宋体" w:cs="Times New Roman"/>
          <w:color w:val="auto"/>
          <w:sz w:val="21"/>
          <w:szCs w:val="21"/>
          <w:lang w:val="en-US" w:eastAsia="zh-CN"/>
        </w:rPr>
        <w:t>大气</w:t>
      </w:r>
      <w:r>
        <w:rPr>
          <w:rFonts w:hint="default" w:ascii="Times New Roman" w:hAnsi="Times New Roman" w:eastAsia="宋体" w:cs="Times New Roman"/>
          <w:color w:val="auto"/>
          <w:sz w:val="21"/>
          <w:szCs w:val="21"/>
          <w:vertAlign w:val="superscript"/>
          <w:lang w:val="en-US" w:eastAsia="zh-CN"/>
        </w:rPr>
        <w:t xml:space="preserve">14 </w:t>
      </w:r>
      <w:r>
        <w:rPr>
          <w:rFonts w:hint="default" w:ascii="Times New Roman" w:hAnsi="Times New Roman" w:eastAsia="宋体" w:cs="Times New Roman"/>
          <w:color w:val="auto"/>
          <w:sz w:val="21"/>
          <w:szCs w:val="21"/>
          <w:lang w:val="en-US" w:eastAsia="zh-CN"/>
        </w:rPr>
        <w:t>CO</w:t>
      </w:r>
      <w:r>
        <w:rPr>
          <w:rFonts w:hint="default" w:ascii="Times New Roman" w:hAnsi="Times New Roman" w:eastAsia="宋体" w:cs="Times New Roman"/>
          <w:color w:val="auto"/>
          <w:sz w:val="21"/>
          <w:szCs w:val="21"/>
          <w:vertAlign w:val="subscript"/>
          <w:lang w:val="en-US" w:eastAsia="zh-CN"/>
        </w:rPr>
        <w:t>2</w:t>
      </w:r>
      <w:r>
        <w:rPr>
          <w:rFonts w:hint="default" w:ascii="Times New Roman" w:hAnsi="Times New Roman" w:eastAsia="宋体" w:cs="Times New Roman"/>
          <w:color w:val="auto"/>
          <w:sz w:val="21"/>
          <w:szCs w:val="21"/>
          <w:lang w:val="en-US" w:eastAsia="zh-CN"/>
        </w:rPr>
        <w:t>的垂直剖面</w:t>
      </w:r>
      <w:r>
        <w:rPr>
          <w:rFonts w:hint="eastAsia" w:ascii="Times New Roman" w:hAnsi="Times New Roman" w:eastAsia="宋体" w:cs="Times New Roman"/>
          <w:color w:val="auto"/>
          <w:sz w:val="21"/>
          <w:szCs w:val="21"/>
          <w:lang w:val="en-US" w:eastAsia="zh-CN"/>
        </w:rPr>
        <w:t>分布特征监测也稳步开展</w:t>
      </w:r>
      <w:r>
        <w:rPr>
          <w:rFonts w:hint="default" w:ascii="Times New Roman" w:hAnsi="Times New Roman" w:eastAsia="宋体" w:cs="Times New Roman"/>
          <w:color w:val="auto"/>
          <w:sz w:val="21"/>
          <w:szCs w:val="21"/>
          <w:lang w:val="en-US" w:eastAsia="zh-CN"/>
        </w:rPr>
        <w:t>。</w:t>
      </w:r>
    </w:p>
    <w:p>
      <w:pPr>
        <w:pageBreakBefore w:val="0"/>
        <w:kinsoku/>
        <w:wordWrap/>
        <w:overflowPunct/>
        <w:topLinePunct w:val="0"/>
        <w:bidi w:val="0"/>
        <w:adjustRightInd/>
        <w:snapToGrid/>
        <w:spacing w:line="240" w:lineRule="auto"/>
        <w:ind w:firstLine="420" w:firstLineChars="0"/>
        <w:textAlignment w:val="auto"/>
        <w:rPr>
          <w:rFonts w:hint="eastAsia" w:ascii="宋体" w:hAnsi="宋体" w:eastAsia="宋体" w:cs="宋体"/>
          <w:color w:val="auto"/>
          <w:sz w:val="21"/>
          <w:szCs w:val="21"/>
          <w:lang w:val="en-US" w:eastAsia="zh-CN"/>
        </w:rPr>
      </w:pPr>
      <w:r>
        <w:rPr>
          <w:rFonts w:hint="eastAsia" w:ascii="Times New Roman" w:hAnsi="Times New Roman" w:eastAsia="宋体" w:cs="Times New Roman"/>
          <w:color w:val="auto"/>
          <w:sz w:val="21"/>
          <w:szCs w:val="21"/>
          <w:lang w:val="en-US" w:eastAsia="zh-CN"/>
        </w:rPr>
        <w:t>随着温室气体二氧化碳监测在我国10数个城市试点全面开展，大气中二氧化碳溯源成为碳监测的重要目标。基于</w:t>
      </w:r>
      <w:r>
        <w:rPr>
          <w:rFonts w:hint="default" w:ascii="Times New Roman" w:hAnsi="Times New Roman" w:eastAsia="宋体" w:cs="Times New Roman"/>
          <w:color w:val="auto"/>
          <w:sz w:val="21"/>
          <w:szCs w:val="21"/>
          <w:vertAlign w:val="superscript"/>
          <w:lang w:val="en-US" w:eastAsia="zh-CN"/>
        </w:rPr>
        <w:t xml:space="preserve">14 </w:t>
      </w:r>
      <w:r>
        <w:rPr>
          <w:rFonts w:hint="default" w:ascii="Times New Roman" w:hAnsi="Times New Roman" w:eastAsia="宋体" w:cs="Times New Roman"/>
          <w:color w:val="auto"/>
          <w:sz w:val="21"/>
          <w:szCs w:val="21"/>
          <w:lang w:val="en-US" w:eastAsia="zh-CN"/>
        </w:rPr>
        <w:t>CO</w:t>
      </w:r>
      <w:r>
        <w:rPr>
          <w:rFonts w:hint="default"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lang w:val="en-US" w:eastAsia="zh-CN"/>
        </w:rPr>
        <w:t>放射碳监测的标准</w:t>
      </w:r>
      <w:r>
        <w:rPr>
          <w:rFonts w:hint="eastAsia" w:ascii="宋体" w:hAnsi="宋体" w:eastAsia="宋体" w:cs="宋体"/>
          <w:color w:val="auto"/>
          <w:sz w:val="21"/>
          <w:szCs w:val="21"/>
          <w:lang w:val="en-US" w:eastAsia="zh-CN"/>
        </w:rPr>
        <w:t>制定方面，1996年由中国核工业总公司制定了</w:t>
      </w:r>
      <w:r>
        <w:rPr>
          <w:rFonts w:hint="eastAsia" w:ascii="Times New Roman" w:hAnsi="Times New Roman" w:eastAsia="宋体" w:cs="Times New Roman"/>
          <w:color w:val="auto"/>
          <w:sz w:val="21"/>
          <w:szCs w:val="21"/>
          <w:lang w:val="en-US" w:eastAsia="zh-CN"/>
        </w:rPr>
        <w:t>空气中</w:t>
      </w:r>
      <w:r>
        <w:rPr>
          <w:rFonts w:hint="eastAsia" w:ascii="Times New Roman" w:hAnsi="Times New Roman" w:eastAsia="宋体" w:cs="Times New Roman"/>
          <w:color w:val="auto"/>
          <w:sz w:val="21"/>
          <w:szCs w:val="21"/>
          <w:vertAlign w:val="superscript"/>
          <w:lang w:val="en-US" w:eastAsia="zh-CN"/>
        </w:rPr>
        <w:t>14</w:t>
      </w:r>
      <w:r>
        <w:rPr>
          <w:rFonts w:hint="eastAsia" w:ascii="Times New Roman" w:hAnsi="Times New Roman" w:eastAsia="宋体" w:cs="Times New Roman"/>
          <w:color w:val="auto"/>
          <w:sz w:val="21"/>
          <w:szCs w:val="21"/>
          <w:lang w:val="en-US" w:eastAsia="zh-CN"/>
        </w:rPr>
        <w:t>C的取样与测定方法核行业标准（</w:t>
      </w:r>
      <w:r>
        <w:rPr>
          <w:rFonts w:ascii="Times New Roman"/>
          <w:color w:val="auto"/>
          <w:sz w:val="21"/>
          <w:szCs w:val="21"/>
          <w:highlight w:val="none"/>
        </w:rPr>
        <w:t>EJ/T 1008</w:t>
      </w:r>
      <w:r>
        <w:rPr>
          <w:rFonts w:hint="eastAsia" w:ascii="Times New Roman"/>
          <w:color w:val="auto"/>
          <w:sz w:val="21"/>
          <w:szCs w:val="21"/>
          <w:highlight w:val="none"/>
          <w:lang w:val="en-US" w:eastAsia="zh-CN"/>
        </w:rPr>
        <w:t>-96</w:t>
      </w:r>
      <w:r>
        <w:rPr>
          <w:rFonts w:hint="eastAsia" w:ascii="Times New Roman" w:hAnsi="Times New Roman" w:eastAsia="宋体" w:cs="Times New Roman"/>
          <w:color w:val="auto"/>
          <w:sz w:val="21"/>
          <w:szCs w:val="21"/>
          <w:lang w:val="en-US" w:eastAsia="zh-CN"/>
        </w:rPr>
        <w:t>），2021年由中国石油化工集团制定了液体石油产品中含放射性碳的生物基含量测定 加速器质谱法（NB/SH/T 6044-2021），尚无相关温室气体</w:t>
      </w:r>
      <w:r>
        <w:rPr>
          <w:rFonts w:hint="default" w:ascii="Times New Roman" w:hAnsi="Times New Roman" w:eastAsia="宋体" w:cs="Times New Roman"/>
          <w:color w:val="auto"/>
          <w:sz w:val="21"/>
          <w:szCs w:val="21"/>
          <w:vertAlign w:val="superscript"/>
          <w:lang w:val="en-US" w:eastAsia="zh-CN"/>
        </w:rPr>
        <w:t xml:space="preserve">14 </w:t>
      </w:r>
      <w:r>
        <w:rPr>
          <w:rFonts w:hint="default" w:ascii="Times New Roman" w:hAnsi="Times New Roman" w:eastAsia="宋体" w:cs="Times New Roman"/>
          <w:color w:val="auto"/>
          <w:sz w:val="21"/>
          <w:szCs w:val="21"/>
          <w:lang w:val="en-US" w:eastAsia="zh-CN"/>
        </w:rPr>
        <w:t>CO</w:t>
      </w:r>
      <w:r>
        <w:rPr>
          <w:rFonts w:hint="default"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vertAlign w:val="baseline"/>
          <w:lang w:val="en-US" w:eastAsia="zh-CN"/>
        </w:rPr>
        <w:t>监测国家标准、行业标准以及地方标准发布。总之，温室气体</w:t>
      </w:r>
      <w:r>
        <w:rPr>
          <w:rFonts w:hint="default" w:ascii="Times New Roman" w:hAnsi="Times New Roman" w:eastAsia="宋体" w:cs="Times New Roman"/>
          <w:color w:val="auto"/>
          <w:sz w:val="21"/>
          <w:szCs w:val="21"/>
          <w:vertAlign w:val="superscript"/>
          <w:lang w:val="en-US" w:eastAsia="zh-CN"/>
        </w:rPr>
        <w:t xml:space="preserve">14 </w:t>
      </w:r>
      <w:r>
        <w:rPr>
          <w:rFonts w:hint="default" w:ascii="Times New Roman" w:hAnsi="Times New Roman" w:eastAsia="宋体" w:cs="Times New Roman"/>
          <w:color w:val="auto"/>
          <w:sz w:val="21"/>
          <w:szCs w:val="21"/>
          <w:lang w:val="en-US" w:eastAsia="zh-CN"/>
        </w:rPr>
        <w:t>CO</w:t>
      </w:r>
      <w:r>
        <w:rPr>
          <w:rFonts w:hint="default"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vertAlign w:val="baseline"/>
          <w:lang w:val="en-US" w:eastAsia="zh-CN"/>
        </w:rPr>
        <w:t>手工监测技术相关标准在我国属于技术空白，需要进一步明确规范，为温室气体</w:t>
      </w:r>
      <w:r>
        <w:rPr>
          <w:rFonts w:hint="default" w:ascii="Times New Roman" w:hAnsi="Times New Roman" w:eastAsia="宋体" w:cs="Times New Roman"/>
          <w:color w:val="auto"/>
          <w:sz w:val="21"/>
          <w:szCs w:val="21"/>
          <w:vertAlign w:val="superscript"/>
          <w:lang w:val="en-US" w:eastAsia="zh-CN"/>
        </w:rPr>
        <w:t xml:space="preserve">14 </w:t>
      </w:r>
      <w:r>
        <w:rPr>
          <w:rFonts w:hint="default" w:ascii="Times New Roman" w:hAnsi="Times New Roman" w:eastAsia="宋体" w:cs="Times New Roman"/>
          <w:color w:val="auto"/>
          <w:sz w:val="21"/>
          <w:szCs w:val="21"/>
          <w:lang w:val="en-US" w:eastAsia="zh-CN"/>
        </w:rPr>
        <w:t>CO</w:t>
      </w:r>
      <w:r>
        <w:rPr>
          <w:rFonts w:hint="default" w:ascii="Times New Roman" w:hAnsi="Times New Roman" w:eastAsia="宋体" w:cs="Times New Roman"/>
          <w:color w:val="auto"/>
          <w:sz w:val="21"/>
          <w:szCs w:val="21"/>
          <w:vertAlign w:val="subscript"/>
          <w:lang w:val="en-US" w:eastAsia="zh-CN"/>
        </w:rPr>
        <w:t>2</w:t>
      </w:r>
      <w:r>
        <w:rPr>
          <w:rFonts w:hint="eastAsia" w:ascii="Times New Roman" w:hAnsi="Times New Roman" w:eastAsia="宋体" w:cs="Times New Roman"/>
          <w:color w:val="auto"/>
          <w:sz w:val="21"/>
          <w:szCs w:val="21"/>
          <w:vertAlign w:val="baseline"/>
          <w:lang w:val="en-US" w:eastAsia="zh-CN"/>
        </w:rPr>
        <w:t>监测的</w:t>
      </w:r>
      <w:r>
        <w:rPr>
          <w:rFonts w:hint="eastAsia" w:ascii="宋体" w:hAnsi="宋体" w:eastAsia="宋体" w:cs="宋体"/>
          <w:color w:val="auto"/>
          <w:sz w:val="21"/>
          <w:szCs w:val="21"/>
          <w:lang w:val="en-US" w:eastAsia="zh-CN"/>
        </w:rPr>
        <w:t>质量保证和质量控制提供技术支撑。</w:t>
      </w:r>
      <w:bookmarkEnd w:id="7"/>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44"/>
          <w:sz w:val="21"/>
          <w:szCs w:val="21"/>
          <w:lang w:val="en-US" w:eastAsia="zh-CN" w:bidi="ar-SA"/>
        </w:rPr>
      </w:pPr>
      <w:bookmarkStart w:id="8" w:name="_Toc23190"/>
      <w:bookmarkStart w:id="9" w:name="_Toc87543398"/>
      <w:bookmarkStart w:id="10" w:name="_Toc87279225"/>
      <w:bookmarkStart w:id="11" w:name="_Toc105418150"/>
      <w:r>
        <w:rPr>
          <w:rFonts w:hint="eastAsia" w:ascii="Times New Roman" w:hAnsi="Times New Roman" w:eastAsia="宋体" w:cs="Times New Roman"/>
          <w:b/>
          <w:bCs/>
          <w:kern w:val="44"/>
          <w:sz w:val="21"/>
          <w:szCs w:val="21"/>
          <w:lang w:val="en-US" w:eastAsia="zh-CN" w:bidi="ar-SA"/>
        </w:rPr>
        <w:t xml:space="preserve">4  </w:t>
      </w:r>
      <w:r>
        <w:rPr>
          <w:rFonts w:hint="default" w:ascii="Times New Roman" w:hAnsi="Times New Roman" w:eastAsia="宋体" w:cs="Times New Roman"/>
          <w:b/>
          <w:bCs/>
          <w:kern w:val="44"/>
          <w:sz w:val="21"/>
          <w:szCs w:val="21"/>
          <w:lang w:val="en-US" w:eastAsia="zh-CN" w:bidi="ar-SA"/>
        </w:rPr>
        <w:t>主要工作过程</w:t>
      </w:r>
      <w:bookmarkEnd w:id="8"/>
    </w:p>
    <w:p>
      <w:pPr>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zh-CN" w:eastAsia="zh-CN"/>
        </w:rPr>
        <w:t>　</w:t>
      </w:r>
      <w:r>
        <w:rPr>
          <w:rFonts w:hint="default" w:ascii="Times New Roman" w:hAnsi="Times New Roman" w:eastAsia="宋体" w:cs="Times New Roman"/>
          <w:sz w:val="21"/>
          <w:szCs w:val="21"/>
          <w:lang w:val="en-US" w:eastAsia="zh-CN"/>
        </w:rPr>
        <w:t>成立标准编制组</w:t>
      </w:r>
      <w:bookmarkEnd w:id="9"/>
      <w:bookmarkEnd w:id="10"/>
      <w:bookmarkEnd w:id="11"/>
    </w:p>
    <w:p>
      <w:pPr>
        <w:pageBreakBefore w:val="0"/>
        <w:kinsoku/>
        <w:wordWrap/>
        <w:overflowPunct/>
        <w:topLinePunct w:val="0"/>
        <w:bidi w:val="0"/>
        <w:adjustRightInd/>
        <w:snapToGrid/>
        <w:spacing w:line="240" w:lineRule="auto"/>
        <w:ind w:firstLine="420" w:firstLineChars="200"/>
        <w:textAlignment w:val="auto"/>
        <w:rPr>
          <w:rFonts w:hint="default" w:ascii="Times New Roman" w:hAnsi="Times New Roman" w:eastAsia="宋体" w:cs="Times New Roman"/>
          <w:color w:val="0000FF"/>
          <w:sz w:val="21"/>
          <w:szCs w:val="21"/>
        </w:rPr>
      </w:pPr>
      <w:r>
        <w:rPr>
          <w:rFonts w:hint="default" w:ascii="Times New Roman" w:hAnsi="Times New Roman" w:eastAsia="宋体" w:cs="Times New Roman"/>
          <w:sz w:val="21"/>
          <w:szCs w:val="21"/>
        </w:rPr>
        <w:t>2023年1月，编制组根据计划通知，结合陕西省实际情况对任务进行调研分析和研究。同时综合分析国内外相关技术资料和研究成果，及编制组温室气体碳同位素手工监测的实践经验，确定了本指南制定的技术路线和分工，并在此基础上完成了指南申请书和草案。</w:t>
      </w:r>
      <w:r>
        <w:rPr>
          <w:rFonts w:hint="default" w:ascii="Times New Roman" w:hAnsi="Times New Roman" w:eastAsia="宋体" w:cs="Times New Roman"/>
          <w:color w:val="0000FF"/>
          <w:sz w:val="21"/>
          <w:szCs w:val="21"/>
        </w:rPr>
        <w:t xml:space="preserve"> </w:t>
      </w:r>
    </w:p>
    <w:p>
      <w:pPr>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zh-CN" w:eastAsia="zh-CN"/>
        </w:rPr>
        <w:t>　</w:t>
      </w:r>
      <w:r>
        <w:rPr>
          <w:rFonts w:hint="default" w:ascii="Times New Roman" w:hAnsi="Times New Roman" w:eastAsia="宋体" w:cs="Times New Roman"/>
          <w:sz w:val="21"/>
          <w:szCs w:val="21"/>
          <w:lang w:val="en-US" w:eastAsia="zh-CN"/>
        </w:rPr>
        <w:t>完成标准初稿</w:t>
      </w:r>
    </w:p>
    <w:p>
      <w:pPr>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2023年5月，陕西省环境监测中心站接到此项标准制修订任务后，成立了由环境监测、环境管理、样品采集等专业领域研究人员组成的编制组，收集国内外</w:t>
      </w:r>
      <w:r>
        <w:rPr>
          <w:rFonts w:hint="default" w:ascii="Times New Roman" w:hAnsi="Times New Roman" w:eastAsia="宋体" w:cs="Times New Roman"/>
          <w:sz w:val="21"/>
          <w:szCs w:val="21"/>
          <w:vertAlign w:val="superscript"/>
        </w:rPr>
        <w:t>14</w:t>
      </w:r>
      <w:r>
        <w:rPr>
          <w:rFonts w:hint="default" w:ascii="Times New Roman" w:hAnsi="Times New Roman" w:eastAsia="宋体" w:cs="Times New Roman"/>
          <w:sz w:val="21"/>
          <w:szCs w:val="21"/>
        </w:rPr>
        <w:t>C监测相关资料，对提出的技术路线、工作内容等多次研讨。2023年7月至9月标准编制组根据确定的技术方案和论证意见，开展课题</w:t>
      </w:r>
      <w:r>
        <w:rPr>
          <w:rFonts w:hint="default" w:ascii="Times New Roman" w:hAnsi="Times New Roman" w:eastAsia="宋体" w:cs="Times New Roman"/>
          <w:sz w:val="21"/>
          <w:szCs w:val="21"/>
          <w:vertAlign w:val="superscript"/>
        </w:rPr>
        <w:t>14</w:t>
      </w:r>
      <w:r>
        <w:rPr>
          <w:rFonts w:hint="default" w:ascii="Times New Roman" w:hAnsi="Times New Roman" w:eastAsia="宋体" w:cs="Times New Roman"/>
          <w:sz w:val="21"/>
          <w:szCs w:val="21"/>
        </w:rPr>
        <w:t>C同位素</w:t>
      </w:r>
      <w:r>
        <w:rPr>
          <w:rFonts w:hint="default" w:ascii="Times New Roman" w:hAnsi="Times New Roman" w:eastAsia="宋体" w:cs="Times New Roman"/>
          <w:sz w:val="21"/>
          <w:szCs w:val="21"/>
          <w:lang w:val="en-US" w:eastAsia="zh-CN"/>
        </w:rPr>
        <w:t>地面</w:t>
      </w:r>
      <w:r>
        <w:rPr>
          <w:rFonts w:hint="default" w:ascii="Times New Roman" w:hAnsi="Times New Roman" w:eastAsia="宋体" w:cs="Times New Roman"/>
          <w:sz w:val="21"/>
          <w:szCs w:val="21"/>
        </w:rPr>
        <w:t>采样和</w:t>
      </w:r>
      <w:r>
        <w:rPr>
          <w:rFonts w:hint="default" w:ascii="Times New Roman" w:hAnsi="Times New Roman" w:eastAsia="宋体" w:cs="Times New Roman"/>
          <w:sz w:val="21"/>
          <w:szCs w:val="21"/>
          <w:lang w:val="en-US" w:eastAsia="zh-CN"/>
        </w:rPr>
        <w:t>无人机采样</w:t>
      </w:r>
      <w:r>
        <w:rPr>
          <w:rFonts w:hint="default" w:ascii="Times New Roman" w:hAnsi="Times New Roman" w:eastAsia="宋体" w:cs="Times New Roman"/>
          <w:sz w:val="21"/>
          <w:szCs w:val="21"/>
        </w:rPr>
        <w:t>比对监测工作实验研究工作，对方法各项技术参数和条件进行优化实验，确定具体的技术内容等特性指标，在此基础上编写方法标准草案和编制说明。</w:t>
      </w:r>
    </w:p>
    <w:p>
      <w:pPr>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val="zh-CN" w:eastAsia="zh-CN"/>
        </w:rPr>
        <w:t>　</w:t>
      </w:r>
      <w:r>
        <w:rPr>
          <w:rFonts w:hint="default" w:ascii="Times New Roman" w:hAnsi="Times New Roman" w:eastAsia="宋体" w:cs="Times New Roman"/>
          <w:sz w:val="21"/>
          <w:szCs w:val="21"/>
          <w:lang w:val="en-US" w:eastAsia="zh-CN"/>
        </w:rPr>
        <w:t>征求意见、完善标准</w:t>
      </w:r>
    </w:p>
    <w:p>
      <w:pPr>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2023年9月，编制组就《温室气体碳同位素手工监测技术规范》的草案，组织参与标准编写的各家单位对草案的框架和内容进行了多次讨论。编制单位根据讨论征集的意见对草案和编制说明进行了修改。</w:t>
      </w:r>
    </w:p>
    <w:p>
      <w:pPr>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val="zh-CN" w:eastAsia="zh-CN"/>
        </w:rPr>
        <w:t>　</w:t>
      </w:r>
      <w:r>
        <w:rPr>
          <w:rFonts w:hint="default" w:ascii="Times New Roman" w:hAnsi="Times New Roman" w:eastAsia="宋体" w:cs="Times New Roman"/>
          <w:sz w:val="21"/>
          <w:szCs w:val="21"/>
          <w:lang w:val="en-US" w:eastAsia="zh-CN"/>
        </w:rPr>
        <w:t>提交审查、报批</w:t>
      </w:r>
    </w:p>
    <w:p>
      <w:pPr>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color w:val="0000FF"/>
          <w:sz w:val="21"/>
          <w:szCs w:val="21"/>
        </w:rPr>
      </w:pPr>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44"/>
          <w:sz w:val="21"/>
          <w:szCs w:val="21"/>
          <w:lang w:val="en-US" w:eastAsia="zh-CN" w:bidi="ar-SA"/>
        </w:rPr>
      </w:pPr>
      <w:bookmarkStart w:id="12" w:name="_Toc29583"/>
      <w:r>
        <w:rPr>
          <w:rFonts w:hint="eastAsia" w:ascii="Times New Roman" w:hAnsi="Times New Roman" w:eastAsia="宋体" w:cs="Times New Roman"/>
          <w:b/>
          <w:bCs/>
          <w:kern w:val="44"/>
          <w:sz w:val="21"/>
          <w:szCs w:val="21"/>
          <w:lang w:val="en-US" w:eastAsia="zh-CN" w:bidi="ar-SA"/>
        </w:rPr>
        <w:t xml:space="preserve">5  </w:t>
      </w:r>
      <w:r>
        <w:rPr>
          <w:rFonts w:hint="default" w:ascii="Times New Roman" w:hAnsi="Times New Roman" w:eastAsia="宋体" w:cs="Times New Roman"/>
          <w:b/>
          <w:bCs/>
          <w:kern w:val="44"/>
          <w:sz w:val="21"/>
          <w:szCs w:val="21"/>
          <w:lang w:val="en-US" w:eastAsia="zh-CN" w:bidi="ar-SA"/>
        </w:rPr>
        <w:t>标准起草工作组成员及任务分工</w:t>
      </w:r>
      <w:bookmarkEnd w:id="12"/>
    </w:p>
    <w:p>
      <w:pPr>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val="en-US" w:eastAsia="zh-CN"/>
        </w:rPr>
        <w:t xml:space="preserve">.1 </w:t>
      </w:r>
      <w:r>
        <w:rPr>
          <w:rFonts w:hint="default" w:ascii="Times New Roman" w:hAnsi="Times New Roman" w:eastAsia="宋体" w:cs="Times New Roman"/>
          <w:sz w:val="21"/>
          <w:szCs w:val="21"/>
        </w:rPr>
        <w:t>标准起草工作组成员</w:t>
      </w:r>
    </w:p>
    <w:p>
      <w:pPr>
        <w:pageBreakBefore w:val="0"/>
        <w:kinsoku/>
        <w:wordWrap/>
        <w:overflowPunct/>
        <w:topLinePunct w:val="0"/>
        <w:bidi w:val="0"/>
        <w:adjustRightInd/>
        <w:snapToGrid/>
        <w:spacing w:line="240" w:lineRule="auto"/>
        <w:ind w:firstLine="42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zh-CN"/>
        </w:rPr>
        <w:t>本标准由陕西省环境监测中心站、中国科学院</w:t>
      </w:r>
      <w:r>
        <w:rPr>
          <w:rFonts w:hint="default" w:ascii="Times New Roman" w:hAnsi="Times New Roman" w:eastAsia="宋体" w:cs="Times New Roman"/>
          <w:sz w:val="21"/>
          <w:szCs w:val="21"/>
          <w:lang w:val="en-US" w:eastAsia="zh-CN"/>
        </w:rPr>
        <w:t>地球环境研究所</w:t>
      </w:r>
      <w:r>
        <w:rPr>
          <w:rFonts w:hint="eastAsia" w:ascii="Times New Roman" w:hAnsi="Times New Roman" w:eastAsia="宋体" w:cs="Times New Roman"/>
          <w:sz w:val="21"/>
          <w:szCs w:val="21"/>
          <w:lang w:val="en-US" w:eastAsia="zh-CN"/>
        </w:rPr>
        <w:t>、铜川市环境监测站和陕西省标准化研究院</w:t>
      </w:r>
      <w:r>
        <w:rPr>
          <w:rFonts w:hint="default" w:ascii="Times New Roman" w:hAnsi="Times New Roman" w:eastAsia="宋体" w:cs="Times New Roman"/>
          <w:sz w:val="21"/>
          <w:szCs w:val="21"/>
          <w:lang w:val="zh-CN"/>
        </w:rPr>
        <w:t>等单位负责起草。起草小组成员为</w:t>
      </w:r>
      <w:r>
        <w:rPr>
          <w:rFonts w:hint="default" w:ascii="Times New Roman" w:hAnsi="Times New Roman" w:eastAsia="宋体" w:cs="Times New Roman"/>
          <w:sz w:val="21"/>
          <w:szCs w:val="21"/>
          <w:lang w:val="en-US" w:eastAsia="zh-CN"/>
        </w:rPr>
        <w:t>杨震、范智超</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牛振川、闫强</w:t>
      </w:r>
      <w:r>
        <w:rPr>
          <w:rFonts w:hint="eastAsia" w:ascii="Times New Roman" w:hAnsi="Times New Roman" w:eastAsia="宋体" w:cs="Times New Roman"/>
          <w:sz w:val="21"/>
          <w:szCs w:val="21"/>
          <w:lang w:val="en-US" w:eastAsia="zh-CN"/>
        </w:rPr>
        <w:t>、曹磊、</w:t>
      </w:r>
      <w:r>
        <w:rPr>
          <w:rFonts w:hint="default" w:ascii="Times New Roman" w:hAnsi="Times New Roman" w:eastAsia="宋体" w:cs="Times New Roman"/>
          <w:sz w:val="21"/>
          <w:szCs w:val="21"/>
          <w:lang w:val="en-US" w:eastAsia="zh-CN"/>
        </w:rPr>
        <w:t>张霖琳。</w:t>
      </w:r>
    </w:p>
    <w:p>
      <w:pPr>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.2  标准起草任务分工</w:t>
      </w:r>
    </w:p>
    <w:p>
      <w:pPr>
        <w:pStyle w:val="39"/>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陕西省环境监测中心站负责标准的起草、整体协调和组织工作；</w:t>
      </w:r>
      <w:r>
        <w:rPr>
          <w:rFonts w:hint="eastAsia" w:ascii="Times New Roman"/>
          <w:sz w:val="21"/>
          <w:szCs w:val="21"/>
          <w:highlight w:val="none"/>
          <w:lang w:val="en-US" w:eastAsia="zh-CN"/>
        </w:rPr>
        <w:t>铜川市环境监测站</w:t>
      </w:r>
      <w:r>
        <w:rPr>
          <w:rFonts w:hint="default" w:ascii="Times New Roman" w:hAnsi="Times New Roman" w:eastAsia="宋体" w:cs="Times New Roman"/>
          <w:color w:val="auto"/>
          <w:sz w:val="21"/>
          <w:szCs w:val="21"/>
          <w:lang w:val="en-US" w:eastAsia="zh-CN"/>
        </w:rPr>
        <w:t>负责温室气体碳同位素样品的采集、</w:t>
      </w:r>
      <w:r>
        <w:rPr>
          <w:rFonts w:hint="default" w:ascii="Times New Roman" w:hAnsi="Times New Roman" w:eastAsia="宋体" w:cs="Times New Roman"/>
          <w:color w:val="auto"/>
          <w:sz w:val="21"/>
          <w:szCs w:val="21"/>
        </w:rPr>
        <w:t>中国科学院</w:t>
      </w:r>
      <w:r>
        <w:rPr>
          <w:rFonts w:hint="default" w:ascii="Times New Roman" w:hAnsi="Times New Roman" w:eastAsia="宋体" w:cs="Times New Roman"/>
          <w:color w:val="auto"/>
          <w:sz w:val="21"/>
          <w:szCs w:val="21"/>
          <w:lang w:val="en-US" w:eastAsia="zh-CN"/>
        </w:rPr>
        <w:t>地球化学研究所</w:t>
      </w:r>
      <w:r>
        <w:rPr>
          <w:rFonts w:hint="default" w:ascii="Times New Roman" w:hAnsi="Times New Roman" w:eastAsia="宋体" w:cs="Times New Roman"/>
          <w:color w:val="auto"/>
          <w:sz w:val="21"/>
          <w:szCs w:val="21"/>
        </w:rPr>
        <w:t>负责温室气体</w:t>
      </w:r>
      <w:r>
        <w:rPr>
          <w:rFonts w:hint="default" w:ascii="Times New Roman" w:hAnsi="Times New Roman" w:eastAsia="宋体" w:cs="Times New Roman"/>
          <w:color w:val="auto"/>
          <w:sz w:val="21"/>
          <w:szCs w:val="21"/>
          <w:lang w:val="en-US" w:eastAsia="zh-CN"/>
        </w:rPr>
        <w:t>碳同位素手工监测</w:t>
      </w:r>
      <w:r>
        <w:rPr>
          <w:rFonts w:hint="default" w:ascii="Times New Roman" w:hAnsi="Times New Roman" w:eastAsia="宋体" w:cs="Times New Roman"/>
          <w:color w:val="auto"/>
          <w:sz w:val="21"/>
          <w:szCs w:val="21"/>
        </w:rPr>
        <w:t>方法科学性的验证工作</w:t>
      </w:r>
      <w:r>
        <w:rPr>
          <w:rFonts w:hint="eastAsia" w:ascii="Times New Roman" w:cs="Times New Roman"/>
          <w:color w:val="auto"/>
          <w:sz w:val="21"/>
          <w:szCs w:val="21"/>
          <w:lang w:eastAsia="zh-CN"/>
        </w:rPr>
        <w:t>；陕西省标准化研究院负责标准文本的规范和部分技术内容的完善</w:t>
      </w:r>
      <w:r>
        <w:rPr>
          <w:rFonts w:hint="default" w:ascii="Times New Roman" w:hAnsi="Times New Roman" w:eastAsia="宋体" w:cs="Times New Roman"/>
          <w:color w:val="auto"/>
          <w:sz w:val="21"/>
          <w:szCs w:val="21"/>
        </w:rPr>
        <w:t>。</w:t>
      </w:r>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44"/>
          <w:sz w:val="21"/>
          <w:szCs w:val="21"/>
          <w:lang w:val="en-US" w:eastAsia="zh-CN" w:bidi="ar-SA"/>
        </w:rPr>
      </w:pPr>
      <w:bookmarkStart w:id="13" w:name="_Toc32197_WPSOffice_Level1"/>
      <w:bookmarkStart w:id="14" w:name="_Toc15852"/>
      <w:r>
        <w:rPr>
          <w:rFonts w:hint="eastAsia" w:ascii="Times New Roman" w:hAnsi="Times New Roman" w:eastAsia="宋体" w:cs="Times New Roman"/>
          <w:b/>
          <w:bCs/>
          <w:kern w:val="44"/>
          <w:sz w:val="21"/>
          <w:szCs w:val="21"/>
          <w:lang w:val="en-US" w:eastAsia="zh-CN" w:bidi="ar-SA"/>
        </w:rPr>
        <w:t xml:space="preserve">6   </w:t>
      </w:r>
      <w:r>
        <w:rPr>
          <w:rFonts w:hint="default" w:ascii="Times New Roman" w:hAnsi="Times New Roman" w:eastAsia="宋体" w:cs="Times New Roman"/>
          <w:b/>
          <w:bCs/>
          <w:kern w:val="44"/>
          <w:sz w:val="21"/>
          <w:szCs w:val="21"/>
          <w:lang w:val="en-US" w:eastAsia="zh-CN" w:bidi="ar-SA"/>
        </w:rPr>
        <w:t>标准编制的原则、技术路线</w:t>
      </w:r>
      <w:bookmarkEnd w:id="13"/>
      <w:bookmarkEnd w:id="14"/>
    </w:p>
    <w:p>
      <w:pPr>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auto"/>
          <w:sz w:val="21"/>
          <w:szCs w:val="21"/>
          <w:lang w:val="zh-CN" w:eastAsia="zh-CN"/>
        </w:rPr>
      </w:pPr>
      <w:bookmarkStart w:id="15" w:name="_Toc4891_WPSOffice_Level2"/>
      <w:bookmarkStart w:id="16" w:name="_Toc51225355"/>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val="zh-CN" w:eastAsia="zh-CN"/>
        </w:rPr>
        <w:t>.1　</w:t>
      </w:r>
      <w:r>
        <w:rPr>
          <w:rFonts w:hint="default" w:ascii="Times New Roman" w:hAnsi="Times New Roman" w:eastAsia="宋体" w:cs="Times New Roman"/>
          <w:color w:val="auto"/>
          <w:sz w:val="21"/>
          <w:szCs w:val="21"/>
          <w:lang w:val="en-US" w:eastAsia="zh-CN"/>
        </w:rPr>
        <w:t>标准编制的</w:t>
      </w:r>
      <w:r>
        <w:rPr>
          <w:rFonts w:hint="default" w:ascii="Times New Roman" w:hAnsi="Times New Roman" w:eastAsia="宋体" w:cs="Times New Roman"/>
          <w:color w:val="auto"/>
          <w:sz w:val="21"/>
          <w:szCs w:val="21"/>
          <w:lang w:val="zh-CN" w:eastAsia="zh-CN"/>
        </w:rPr>
        <w:t>原则</w:t>
      </w:r>
      <w:bookmarkEnd w:id="15"/>
      <w:bookmarkEnd w:id="16"/>
    </w:p>
    <w:p>
      <w:pPr>
        <w:pStyle w:val="39"/>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本技术规范依据《标准化工作指南》</w:t>
      </w:r>
      <w:r>
        <w:rPr>
          <w:rFonts w:hint="default" w:ascii="Times New Roman" w:hAnsi="Times New Roman" w:eastAsia="宋体" w:cs="Times New Roman"/>
          <w:sz w:val="21"/>
          <w:szCs w:val="21"/>
          <w:lang w:val="zh-CN"/>
        </w:rPr>
        <w:t>GB/T1.1-2022给出的规则，遵循科学性、</w:t>
      </w:r>
      <w:r>
        <w:rPr>
          <w:rFonts w:hint="default" w:ascii="Times New Roman" w:hAnsi="Times New Roman" w:eastAsia="宋体" w:cs="Times New Roman"/>
          <w:sz w:val="21"/>
          <w:szCs w:val="21"/>
          <w:lang w:val="en-US" w:eastAsia="zh-CN"/>
        </w:rPr>
        <w:t>整体性、针对性</w:t>
      </w:r>
      <w:r>
        <w:rPr>
          <w:rFonts w:hint="default" w:ascii="Times New Roman" w:hAnsi="Times New Roman" w:eastAsia="宋体" w:cs="Times New Roman"/>
          <w:sz w:val="21"/>
          <w:szCs w:val="21"/>
          <w:lang w:val="zh-CN"/>
        </w:rPr>
        <w:t>原则，</w:t>
      </w:r>
      <w:r>
        <w:rPr>
          <w:rFonts w:hint="default" w:ascii="Times New Roman" w:hAnsi="Times New Roman" w:eastAsia="宋体" w:cs="Times New Roman"/>
          <w:sz w:val="21"/>
          <w:szCs w:val="21"/>
          <w:lang w:val="en-US" w:eastAsia="zh-CN"/>
        </w:rPr>
        <w:t>参考国内同行业已使用的较成熟的参考文献</w:t>
      </w:r>
      <w:r>
        <w:rPr>
          <w:rFonts w:hint="default" w:ascii="Times New Roman" w:hAnsi="Times New Roman" w:eastAsia="宋体" w:cs="Times New Roman"/>
          <w:sz w:val="21"/>
          <w:szCs w:val="21"/>
          <w:lang w:val="zh-CN"/>
        </w:rPr>
        <w:t>编制起草本标准。</w:t>
      </w:r>
      <w:r>
        <w:rPr>
          <w:rFonts w:hint="default" w:ascii="Times New Roman" w:hAnsi="Times New Roman" w:eastAsia="宋体" w:cs="Times New Roman"/>
          <w:sz w:val="21"/>
          <w:szCs w:val="21"/>
          <w:lang w:val="en-US" w:eastAsia="zh-CN"/>
        </w:rPr>
        <w:t>技术规范编写的基本原则如下：</w:t>
      </w:r>
    </w:p>
    <w:p>
      <w:pPr>
        <w:pStyle w:val="39"/>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科学性原则。参考现有的国家标准、行业标准和相关技术文件，充分借鉴试点工作的应用经验。</w:t>
      </w:r>
    </w:p>
    <w:p>
      <w:pPr>
        <w:pStyle w:val="39"/>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整体</w:t>
      </w:r>
      <w:r>
        <w:rPr>
          <w:rFonts w:hint="default" w:ascii="Times New Roman" w:hAnsi="Times New Roman" w:eastAsia="宋体" w:cs="Times New Roman"/>
          <w:color w:val="000000"/>
          <w:sz w:val="21"/>
          <w:szCs w:val="21"/>
          <w:lang w:val="zh-CN" w:eastAsia="zh-CN"/>
        </w:rPr>
        <w:t>性原则。</w:t>
      </w:r>
      <w:r>
        <w:rPr>
          <w:rFonts w:hint="default" w:ascii="Times New Roman" w:hAnsi="Times New Roman" w:eastAsia="宋体" w:cs="Times New Roman"/>
          <w:color w:val="000000"/>
          <w:sz w:val="21"/>
          <w:szCs w:val="21"/>
          <w:lang w:val="en-US" w:eastAsia="zh-CN"/>
        </w:rPr>
        <w:t>考虑系统规定温室气体碳同位素手工监测技术的方法原理、样品采集、样品处理、分析测试、质量保证和质量控制等技术要求。</w:t>
      </w:r>
    </w:p>
    <w:p>
      <w:pPr>
        <w:pStyle w:val="39"/>
        <w:pageBreakBefore w:val="0"/>
        <w:kinsoku/>
        <w:wordWrap/>
        <w:overflowPunct/>
        <w:topLinePunct w:val="0"/>
        <w:bidi w:val="0"/>
        <w:adjustRightInd/>
        <w:snapToGrid/>
        <w:spacing w:line="240" w:lineRule="auto"/>
        <w:textAlignment w:val="auto"/>
        <w:rPr>
          <w:rFonts w:hint="default" w:ascii="Times New Roman" w:hAnsi="Times New Roman" w:eastAsia="宋体" w:cs="Times New Roman"/>
          <w:color w:val="0070C0"/>
          <w:kern w:val="0"/>
          <w:sz w:val="21"/>
          <w:szCs w:val="21"/>
          <w:lang w:bidi="ar"/>
        </w:rPr>
      </w:pPr>
      <w:r>
        <w:rPr>
          <w:rFonts w:hint="default" w:ascii="Times New Roman" w:hAnsi="Times New Roman" w:eastAsia="宋体" w:cs="Times New Roman"/>
          <w:color w:val="000000"/>
          <w:sz w:val="21"/>
          <w:szCs w:val="21"/>
          <w:lang w:val="en-US" w:eastAsia="zh-CN"/>
        </w:rPr>
        <w:t>针对性原则。总结现有文献资料及温室气体碳同位素手工监测的实际应用经验基础上，规范内容与指标明确。可操作性强，具有普遍的适用性，易于推广使用。</w:t>
      </w:r>
    </w:p>
    <w:p>
      <w:pPr>
        <w:pageBreakBefore w:val="0"/>
        <w:kinsoku/>
        <w:wordWrap/>
        <w:topLinePunct w:val="0"/>
        <w:bidi w:val="0"/>
        <w:spacing w:line="360" w:lineRule="auto"/>
        <w:textAlignment w:val="auto"/>
        <w:rPr>
          <w:rFonts w:hint="default" w:ascii="Times New Roman" w:hAnsi="Times New Roman" w:eastAsia="宋体" w:cs="Times New Roman"/>
          <w:color w:val="auto"/>
          <w:sz w:val="21"/>
          <w:szCs w:val="21"/>
          <w:lang w:val="zh-CN" w:eastAsia="zh-CN"/>
        </w:rPr>
      </w:pPr>
      <w:bookmarkStart w:id="17" w:name="_Toc51225356"/>
      <w:bookmarkStart w:id="18" w:name="_Toc9296_WPSOffice_Level2"/>
      <w:r>
        <w:rPr>
          <w:rFonts w:hint="eastAsia"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val="zh-CN" w:eastAsia="zh-CN"/>
        </w:rPr>
        <w:t>.2</w:t>
      </w:r>
      <w:bookmarkEnd w:id="17"/>
      <w:r>
        <w:rPr>
          <w:rFonts w:hint="default" w:ascii="Times New Roman" w:hAnsi="Times New Roman" w:eastAsia="宋体" w:cs="Times New Roman"/>
          <w:color w:val="auto"/>
          <w:sz w:val="21"/>
          <w:szCs w:val="21"/>
          <w:lang w:val="zh-CN" w:eastAsia="zh-CN"/>
        </w:rPr>
        <w:t>　技术路线</w:t>
      </w:r>
      <w:bookmarkEnd w:id="18"/>
    </w:p>
    <w:p>
      <w:pPr>
        <w:pageBreakBefore w:val="0"/>
        <w:kinsoku/>
        <w:wordWrap/>
        <w:topLinePunct w:val="0"/>
        <w:bidi w:val="0"/>
        <w:spacing w:line="360" w:lineRule="auto"/>
        <w:textAlignment w:val="auto"/>
        <w:rPr>
          <w:rFonts w:hint="default" w:ascii="Times New Roman" w:hAnsi="Times New Roman" w:eastAsia="宋体" w:cs="Times New Roman"/>
          <w:lang w:val="zh-CN"/>
        </w:rPr>
      </w:pPr>
      <w:r>
        <w:rPr>
          <w:rFonts w:hint="default" w:ascii="Times New Roman" w:hAnsi="Times New Roman" w:eastAsia="宋体" w:cs="Times New Roman"/>
          <w:sz w:val="24"/>
          <w:szCs w:val="24"/>
        </w:rPr>
        <w:drawing>
          <wp:inline distT="0" distB="0" distL="114300" distR="114300">
            <wp:extent cx="5326380" cy="2773680"/>
            <wp:effectExtent l="0" t="0" r="7620" b="7620"/>
            <wp:docPr id="4"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true"/>
                    </pic:cNvPicPr>
                  </pic:nvPicPr>
                  <pic:blipFill>
                    <a:blip r:embed="rId8"/>
                    <a:stretch>
                      <a:fillRect/>
                    </a:stretch>
                  </pic:blipFill>
                  <pic:spPr>
                    <a:xfrm>
                      <a:off x="0" y="0"/>
                      <a:ext cx="5326380" cy="2773680"/>
                    </a:xfrm>
                    <a:prstGeom prst="rect">
                      <a:avLst/>
                    </a:prstGeom>
                    <a:noFill/>
                    <a:ln>
                      <a:noFill/>
                    </a:ln>
                  </pic:spPr>
                </pic:pic>
              </a:graphicData>
            </a:graphic>
          </wp:inline>
        </w:drawing>
      </w:r>
    </w:p>
    <w:p>
      <w:pPr>
        <w:pageBreakBefore w:val="0"/>
        <w:kinsoku/>
        <w:wordWrap/>
        <w:topLinePunct w:val="0"/>
        <w:bidi w:val="0"/>
        <w:spacing w:line="360" w:lineRule="auto"/>
        <w:textAlignment w:val="auto"/>
        <w:rPr>
          <w:rFonts w:hint="default" w:ascii="Times New Roman" w:hAnsi="Times New Roman" w:eastAsia="宋体" w:cs="Times New Roman"/>
          <w:sz w:val="24"/>
          <w:szCs w:val="24"/>
          <w:lang w:val="zh-CN"/>
        </w:rPr>
      </w:pPr>
    </w:p>
    <w:p>
      <w:pPr>
        <w:pStyle w:val="2"/>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kern w:val="44"/>
          <w:sz w:val="21"/>
          <w:szCs w:val="21"/>
          <w:lang w:val="en-US" w:eastAsia="zh-CN" w:bidi="ar-SA"/>
        </w:rPr>
      </w:pPr>
      <w:bookmarkStart w:id="19" w:name="_Toc31528"/>
      <w:bookmarkStart w:id="20" w:name="_Toc4058_WPSOffice_Level1"/>
      <w:bookmarkStart w:id="21" w:name="_Hlk37340332"/>
      <w:r>
        <w:rPr>
          <w:rFonts w:hint="eastAsia" w:ascii="Times New Roman" w:hAnsi="Times New Roman" w:eastAsia="宋体" w:cs="Times New Roman"/>
          <w:b/>
          <w:bCs/>
          <w:kern w:val="44"/>
          <w:sz w:val="21"/>
          <w:szCs w:val="21"/>
          <w:lang w:val="en-US" w:eastAsia="zh-CN" w:bidi="ar-SA"/>
        </w:rPr>
        <w:t>7</w:t>
      </w:r>
      <w:r>
        <w:rPr>
          <w:rFonts w:hint="default" w:ascii="Times New Roman" w:hAnsi="Times New Roman" w:eastAsia="宋体" w:cs="Times New Roman"/>
          <w:b/>
          <w:bCs/>
          <w:kern w:val="44"/>
          <w:sz w:val="21"/>
          <w:szCs w:val="21"/>
          <w:lang w:val="en-US" w:eastAsia="zh-CN" w:bidi="ar-SA"/>
        </w:rPr>
        <w:t>.标准研究内容</w:t>
      </w:r>
      <w:bookmarkEnd w:id="19"/>
      <w:bookmarkEnd w:id="20"/>
    </w:p>
    <w:p>
      <w:pPr>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color w:val="auto"/>
          <w:sz w:val="21"/>
          <w:szCs w:val="21"/>
          <w:lang w:val="zh-CN" w:eastAsia="zh-CN"/>
        </w:rPr>
      </w:pPr>
      <w:bookmarkStart w:id="22" w:name="_Toc29094_WPSOffice_Level2"/>
      <w:r>
        <w:rPr>
          <w:rFonts w:hint="eastAsia" w:ascii="CESI宋体-GB2312" w:hAnsi="CESI宋体-GB2312" w:eastAsia="CESI宋体-GB2312" w:cs="CESI宋体-GB2312"/>
          <w:color w:val="auto"/>
          <w:sz w:val="21"/>
          <w:szCs w:val="21"/>
          <w:lang w:val="en-US" w:eastAsia="zh-CN"/>
        </w:rPr>
        <w:t>7</w:t>
      </w:r>
      <w:r>
        <w:rPr>
          <w:rFonts w:hint="eastAsia" w:ascii="CESI宋体-GB2312" w:hAnsi="CESI宋体-GB2312" w:eastAsia="CESI宋体-GB2312" w:cs="CESI宋体-GB2312"/>
          <w:color w:val="auto"/>
          <w:sz w:val="21"/>
          <w:szCs w:val="21"/>
          <w:lang w:val="zh-CN" w:eastAsia="zh-CN"/>
        </w:rPr>
        <w:t>.1　范围</w:t>
      </w:r>
      <w:bookmarkEnd w:id="22"/>
    </w:p>
    <w:p>
      <w:pPr>
        <w:pStyle w:val="39"/>
        <w:keepNext w:val="0"/>
        <w:keepLines w:val="0"/>
        <w:pageBreakBefore w:val="0"/>
        <w:kinsoku/>
        <w:wordWrap/>
        <w:overflowPunct/>
        <w:topLinePunct w:val="0"/>
        <w:bidi w:val="0"/>
        <w:snapToGrid/>
        <w:spacing w:line="240" w:lineRule="auto"/>
        <w:ind w:firstLine="480"/>
        <w:textAlignment w:val="auto"/>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本文件规定了温室气体碳同位素手工监测的方法原理、点位布设、样品采集、保存与运输、前处理、分析测试、质量保证和质量控制，以及数据审核与报送等技术要求。</w:t>
      </w:r>
    </w:p>
    <w:p>
      <w:pPr>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color w:val="auto"/>
          <w:sz w:val="21"/>
          <w:szCs w:val="21"/>
          <w:lang w:val="en-US" w:eastAsia="zh-CN"/>
        </w:rPr>
      </w:pPr>
      <w:bookmarkStart w:id="23" w:name="_Toc20270_WPSOffice_Level2"/>
    </w:p>
    <w:p>
      <w:pPr>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color w:val="auto"/>
          <w:sz w:val="21"/>
          <w:szCs w:val="21"/>
          <w:lang w:val="zh-CN" w:eastAsia="zh-CN"/>
        </w:rPr>
      </w:pPr>
      <w:r>
        <w:rPr>
          <w:rFonts w:hint="eastAsia" w:ascii="CESI宋体-GB2312" w:hAnsi="CESI宋体-GB2312" w:eastAsia="CESI宋体-GB2312" w:cs="CESI宋体-GB2312"/>
          <w:color w:val="auto"/>
          <w:sz w:val="21"/>
          <w:szCs w:val="21"/>
          <w:lang w:val="en-US" w:eastAsia="zh-CN"/>
        </w:rPr>
        <w:t>7</w:t>
      </w:r>
      <w:r>
        <w:rPr>
          <w:rFonts w:hint="eastAsia" w:ascii="CESI宋体-GB2312" w:hAnsi="CESI宋体-GB2312" w:eastAsia="CESI宋体-GB2312" w:cs="CESI宋体-GB2312"/>
          <w:color w:val="auto"/>
          <w:sz w:val="21"/>
          <w:szCs w:val="21"/>
          <w:lang w:val="zh-CN" w:eastAsia="zh-CN"/>
        </w:rPr>
        <w:t>.2　规范性引用文件</w:t>
      </w:r>
      <w:bookmarkEnd w:id="23"/>
    </w:p>
    <w:p>
      <w:pPr>
        <w:pStyle w:val="39"/>
        <w:keepNext w:val="0"/>
        <w:keepLines w:val="0"/>
        <w:pageBreakBefore w:val="0"/>
        <w:kinsoku/>
        <w:wordWrap/>
        <w:overflowPunct/>
        <w:topLinePunct w:val="0"/>
        <w:bidi w:val="0"/>
        <w:snapToGrid/>
        <w:spacing w:line="240" w:lineRule="auto"/>
        <w:ind w:firstLine="480"/>
        <w:textAlignment w:val="auto"/>
        <w:rPr>
          <w:rFonts w:hint="eastAsia" w:ascii="CESI宋体-GB2312" w:hAnsi="CESI宋体-GB2312" w:eastAsia="CESI宋体-GB2312" w:cs="CESI宋体-GB2312"/>
          <w:sz w:val="21"/>
          <w:szCs w:val="21"/>
        </w:rPr>
      </w:pPr>
      <w:bookmarkStart w:id="24" w:name="_Hlk87541878"/>
      <w:r>
        <w:rPr>
          <w:rFonts w:hint="eastAsia" w:ascii="CESI宋体-GB2312" w:hAnsi="CESI宋体-GB2312" w:eastAsia="CESI宋体-GB2312" w:cs="CESI宋体-GB2312"/>
          <w:sz w:val="21"/>
          <w:szCs w:val="21"/>
          <w:lang w:val="en-US" w:eastAsia="zh-CN"/>
        </w:rPr>
        <w:t>本标准中引用的国内现行国家标准、行业标准共14项，如下</w:t>
      </w:r>
      <w:r>
        <w:rPr>
          <w:rFonts w:hint="eastAsia" w:ascii="CESI宋体-GB2312" w:hAnsi="CESI宋体-GB2312" w:eastAsia="CESI宋体-GB2312" w:cs="CESI宋体-GB2312"/>
          <w:sz w:val="21"/>
          <w:szCs w:val="21"/>
        </w:rPr>
        <w:t>。</w:t>
      </w:r>
    </w:p>
    <w:bookmarkEnd w:id="24"/>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CESI宋体-GB2312" w:hAnsi="CESI宋体-GB2312" w:eastAsia="CESI宋体-GB2312" w:cs="CESI宋体-GB2312"/>
          <w:kern w:val="0"/>
          <w:sz w:val="21"/>
          <w:szCs w:val="21"/>
          <w:highlight w:val="none"/>
          <w:lang w:val="en-US" w:eastAsia="zh-CN" w:bidi="ar-SA"/>
        </w:rPr>
      </w:pPr>
      <w:r>
        <w:rPr>
          <w:rFonts w:hint="eastAsia" w:ascii="CESI宋体-GB2312" w:hAnsi="CESI宋体-GB2312" w:eastAsia="CESI宋体-GB2312" w:cs="CESI宋体-GB2312"/>
          <w:kern w:val="0"/>
          <w:sz w:val="21"/>
          <w:szCs w:val="21"/>
          <w:highlight w:val="none"/>
          <w:lang w:val="en-US" w:eastAsia="zh-CN" w:bidi="ar-SA"/>
        </w:rPr>
        <w:t>GB/T 10544  PU高压软管及软管组合件</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rPr>
        <w:t>GB/T 31705  气相色谱法本底大气二氧化碳和甲烷浓度在线观测方法</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rPr>
        <w:t>GB/T 34286  温室气体 二氧化碳测量 离轴积分腔输出光谱法</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rPr>
        <w:t>GB/T 34415  大气二氧化碳（</w:t>
      </w:r>
      <w:r>
        <w:rPr>
          <w:rFonts w:hint="eastAsia" w:ascii="CESI宋体-GB2312" w:hAnsi="CESI宋体-GB2312" w:eastAsia="CESI宋体-GB2312" w:cs="CESI宋体-GB2312"/>
          <w:sz w:val="21"/>
          <w:szCs w:val="21"/>
          <w:highlight w:val="none"/>
          <w:vertAlign w:val="superscript"/>
          <w:lang w:val="en-US" w:eastAsia="zh-CN"/>
        </w:rPr>
        <w:t>14</w:t>
      </w:r>
      <w:r>
        <w:rPr>
          <w:rFonts w:hint="eastAsia" w:ascii="CESI宋体-GB2312" w:hAnsi="CESI宋体-GB2312" w:eastAsia="CESI宋体-GB2312" w:cs="CESI宋体-GB2312"/>
          <w:sz w:val="21"/>
          <w:szCs w:val="21"/>
          <w:highlight w:val="none"/>
        </w:rPr>
        <w:t>CO</w:t>
      </w:r>
      <w:r>
        <w:rPr>
          <w:rFonts w:hint="eastAsia" w:ascii="CESI宋体-GB2312" w:hAnsi="CESI宋体-GB2312" w:eastAsia="CESI宋体-GB2312" w:cs="CESI宋体-GB2312"/>
          <w:sz w:val="21"/>
          <w:szCs w:val="21"/>
          <w:highlight w:val="none"/>
          <w:vertAlign w:val="subscript"/>
        </w:rPr>
        <w:t>2</w:t>
      </w:r>
      <w:r>
        <w:rPr>
          <w:rFonts w:hint="eastAsia" w:ascii="CESI宋体-GB2312" w:hAnsi="CESI宋体-GB2312" w:eastAsia="CESI宋体-GB2312" w:cs="CESI宋体-GB2312"/>
          <w:sz w:val="21"/>
          <w:szCs w:val="21"/>
          <w:highlight w:val="none"/>
        </w:rPr>
        <w:t>）光腔衰荡光谱观测系统</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CESI宋体-GB2312" w:hAnsi="CESI宋体-GB2312" w:eastAsia="CESI宋体-GB2312" w:cs="CESI宋体-GB2312"/>
          <w:kern w:val="0"/>
          <w:sz w:val="21"/>
          <w:szCs w:val="21"/>
          <w:highlight w:val="none"/>
          <w:lang w:val="en-US" w:eastAsia="zh-CN" w:bidi="ar-SA"/>
        </w:rPr>
      </w:pPr>
      <w:r>
        <w:rPr>
          <w:rFonts w:hint="eastAsia" w:ascii="CESI宋体-GB2312" w:hAnsi="CESI宋体-GB2312" w:eastAsia="CESI宋体-GB2312" w:cs="CESI宋体-GB2312"/>
          <w:kern w:val="0"/>
          <w:sz w:val="21"/>
          <w:szCs w:val="21"/>
          <w:highlight w:val="none"/>
          <w:lang w:val="en-US" w:eastAsia="zh-CN" w:bidi="ar-SA"/>
        </w:rPr>
        <w:t>GB 42590  民用无人驾驶航空器系统安全要求</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CESI宋体-GB2312" w:hAnsi="CESI宋体-GB2312" w:eastAsia="CESI宋体-GB2312" w:cs="CESI宋体-GB2312"/>
          <w:color w:val="FF0000"/>
          <w:kern w:val="0"/>
          <w:sz w:val="21"/>
          <w:szCs w:val="21"/>
          <w:highlight w:val="none"/>
          <w:lang w:val="en-US" w:eastAsia="zh-CN" w:bidi="ar-SA"/>
        </w:rPr>
      </w:pPr>
      <w:r>
        <w:rPr>
          <w:rFonts w:hint="eastAsia" w:ascii="CESI宋体-GB2312" w:hAnsi="CESI宋体-GB2312" w:eastAsia="CESI宋体-GB2312" w:cs="CESI宋体-GB2312"/>
          <w:sz w:val="21"/>
          <w:szCs w:val="21"/>
          <w:highlight w:val="none"/>
        </w:rPr>
        <w:t>EJ/T 1008  空气中</w:t>
      </w:r>
      <w:r>
        <w:rPr>
          <w:rFonts w:hint="eastAsia" w:ascii="CESI宋体-GB2312" w:hAnsi="CESI宋体-GB2312" w:eastAsia="CESI宋体-GB2312" w:cs="CESI宋体-GB2312"/>
          <w:sz w:val="21"/>
          <w:szCs w:val="21"/>
          <w:highlight w:val="none"/>
          <w:vertAlign w:val="superscript"/>
        </w:rPr>
        <w:t>14</w:t>
      </w:r>
      <w:r>
        <w:rPr>
          <w:rFonts w:hint="eastAsia" w:ascii="CESI宋体-GB2312" w:hAnsi="CESI宋体-GB2312" w:eastAsia="CESI宋体-GB2312" w:cs="CESI宋体-GB2312"/>
          <w:sz w:val="21"/>
          <w:szCs w:val="21"/>
          <w:highlight w:val="none"/>
        </w:rPr>
        <w:t>C的取样与测定方法</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color w:val="auto"/>
          <w:kern w:val="0"/>
          <w:sz w:val="21"/>
          <w:szCs w:val="21"/>
          <w:highlight w:val="none"/>
          <w:lang w:val="en-US" w:eastAsia="zh-CN" w:bidi="ar-SA"/>
        </w:rPr>
      </w:pPr>
      <w:r>
        <w:rPr>
          <w:rFonts w:hint="eastAsia" w:ascii="CESI宋体-GB2312" w:hAnsi="CESI宋体-GB2312" w:eastAsia="CESI宋体-GB2312" w:cs="CESI宋体-GB2312"/>
          <w:color w:val="auto"/>
          <w:kern w:val="0"/>
          <w:sz w:val="21"/>
          <w:szCs w:val="21"/>
          <w:highlight w:val="none"/>
          <w:lang w:val="en-US" w:eastAsia="zh-CN" w:bidi="ar-SA"/>
        </w:rPr>
        <w:t>HG/T 2899  聚四氟乙烯材料</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rPr>
        <w:t>HJ 194  环境空气质量手工监测技术规范</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color w:val="auto"/>
          <w:sz w:val="21"/>
          <w:szCs w:val="21"/>
          <w:highlight w:val="none"/>
        </w:rPr>
      </w:pPr>
      <w:r>
        <w:rPr>
          <w:rFonts w:hint="eastAsia" w:ascii="CESI宋体-GB2312" w:hAnsi="CESI宋体-GB2312" w:eastAsia="CESI宋体-GB2312" w:cs="CESI宋体-GB2312"/>
          <w:sz w:val="21"/>
          <w:szCs w:val="21"/>
          <w:highlight w:val="none"/>
        </w:rPr>
        <w:t>HJ 664  环境空气质量监测站点布设技术规范（试行）</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rPr>
        <w:t>QX/T 67  本底大气二氧化碳浓度瓶采样测定方法——非色散红外法</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rPr>
        <w:t>QX/T 164  温室气体玻璃瓶采样方法</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color w:val="FF0000"/>
          <w:kern w:val="0"/>
          <w:sz w:val="21"/>
          <w:szCs w:val="21"/>
          <w:highlight w:val="none"/>
          <w:lang w:val="en-US" w:eastAsia="zh-CN" w:bidi="ar-SA"/>
        </w:rPr>
      </w:pPr>
      <w:r>
        <w:rPr>
          <w:rFonts w:hint="eastAsia" w:ascii="CESI宋体-GB2312" w:hAnsi="CESI宋体-GB2312" w:eastAsia="CESI宋体-GB2312" w:cs="CESI宋体-GB2312"/>
          <w:sz w:val="21"/>
          <w:szCs w:val="21"/>
          <w:highlight w:val="none"/>
        </w:rPr>
        <w:t>QX/T 213  温室气体玻璃采样瓶预处理和后处理方法</w:t>
      </w:r>
    </w:p>
    <w:p>
      <w:pPr>
        <w:keepNext w:val="0"/>
        <w:keepLines w:val="0"/>
        <w:pageBreakBefore w:val="0"/>
        <w:kinsoku/>
        <w:wordWrap/>
        <w:overflowPunct/>
        <w:topLinePunct w:val="0"/>
        <w:bidi w:val="0"/>
        <w:snapToGrid/>
        <w:spacing w:line="240" w:lineRule="auto"/>
        <w:ind w:firstLine="420" w:firstLineChars="200"/>
        <w:jc w:val="left"/>
        <w:textAlignment w:val="auto"/>
        <w:rPr>
          <w:rFonts w:hint="eastAsia" w:ascii="CESI宋体-GB2312" w:hAnsi="CESI宋体-GB2312" w:eastAsia="CESI宋体-GB2312" w:cs="CESI宋体-GB2312"/>
          <w:sz w:val="21"/>
          <w:szCs w:val="21"/>
        </w:rPr>
      </w:pPr>
    </w:p>
    <w:p>
      <w:pPr>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color w:val="auto"/>
          <w:sz w:val="21"/>
          <w:szCs w:val="21"/>
          <w:lang w:val="zh-CN" w:eastAsia="zh-CN"/>
        </w:rPr>
      </w:pPr>
      <w:bookmarkStart w:id="25" w:name="_Toc19626_WPSOffice_Level2"/>
      <w:r>
        <w:rPr>
          <w:rFonts w:hint="eastAsia" w:ascii="CESI宋体-GB2312" w:hAnsi="CESI宋体-GB2312" w:eastAsia="CESI宋体-GB2312" w:cs="CESI宋体-GB2312"/>
          <w:color w:val="auto"/>
          <w:sz w:val="21"/>
          <w:szCs w:val="21"/>
          <w:lang w:val="en-US" w:eastAsia="zh-CN"/>
        </w:rPr>
        <w:t>7</w:t>
      </w:r>
      <w:r>
        <w:rPr>
          <w:rFonts w:hint="eastAsia" w:ascii="CESI宋体-GB2312" w:hAnsi="CESI宋体-GB2312" w:eastAsia="CESI宋体-GB2312" w:cs="CESI宋体-GB2312"/>
          <w:color w:val="auto"/>
          <w:sz w:val="21"/>
          <w:szCs w:val="21"/>
          <w:lang w:val="zh-CN" w:eastAsia="zh-CN"/>
        </w:rPr>
        <w:t>.3　术语和定义</w:t>
      </w:r>
      <w:bookmarkEnd w:id="25"/>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lang w:val="en-US" w:eastAsia="zh-CN"/>
        </w:rPr>
      </w:pPr>
      <w:bookmarkStart w:id="26" w:name="_Hlk60130539"/>
      <w:bookmarkStart w:id="27" w:name="_Toc87976670"/>
      <w:bookmarkStart w:id="28" w:name="_Toc105423648"/>
      <w:r>
        <w:rPr>
          <w:rFonts w:hint="eastAsia" w:ascii="CESI宋体-GB2312" w:hAnsi="CESI宋体-GB2312" w:eastAsia="CESI宋体-GB2312" w:cs="CESI宋体-GB2312"/>
          <w:sz w:val="21"/>
          <w:szCs w:val="21"/>
          <w:lang w:val="en-US" w:eastAsia="zh-CN"/>
        </w:rPr>
        <w:t>温室气体碳同位素手工监测中涉及一些专业词汇术语，为规范术语应用，列出技术中的重要术语并给出定义。编制组查阅了引用的规范性文件以及其他法律、法规和标准规范等，对于已经颁布实施的法律、法规和标准中有明确定义的术语，在本技术规范中不再重复。本技术规范只规定其他规范性文件中明确的专有技术名词。</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lang w:val="zh-CN" w:eastAsia="zh-CN"/>
        </w:rPr>
      </w:pPr>
      <w:r>
        <w:rPr>
          <w:rFonts w:hint="eastAsia" w:ascii="CESI宋体-GB2312" w:hAnsi="CESI宋体-GB2312" w:eastAsia="CESI宋体-GB2312" w:cs="CESI宋体-GB2312"/>
          <w:sz w:val="21"/>
          <w:szCs w:val="21"/>
          <w:lang w:val="en-US" w:eastAsia="zh-CN"/>
        </w:rPr>
        <w:t>本技术规定给出了5条术语和定义，包括</w:t>
      </w:r>
      <w:r>
        <w:rPr>
          <w:rFonts w:hint="eastAsia" w:ascii="CESI宋体-GB2312" w:hAnsi="CESI宋体-GB2312" w:eastAsia="CESI宋体-GB2312" w:cs="CESI宋体-GB2312"/>
          <w:sz w:val="21"/>
          <w:szCs w:val="21"/>
          <w:highlight w:val="none"/>
          <w:vertAlign w:val="superscript"/>
          <w:lang w:val="en-US" w:eastAsia="zh-CN"/>
        </w:rPr>
        <w:t>14</w:t>
      </w:r>
      <w:r>
        <w:rPr>
          <w:rFonts w:hint="eastAsia" w:ascii="CESI宋体-GB2312" w:hAnsi="CESI宋体-GB2312" w:eastAsia="CESI宋体-GB2312" w:cs="CESI宋体-GB2312"/>
          <w:sz w:val="21"/>
          <w:szCs w:val="21"/>
          <w:highlight w:val="none"/>
          <w:lang w:val="en-US" w:eastAsia="zh-CN"/>
        </w:rPr>
        <w:t>CO</w:t>
      </w:r>
      <w:r>
        <w:rPr>
          <w:rFonts w:hint="eastAsia" w:ascii="CESI宋体-GB2312" w:hAnsi="CESI宋体-GB2312" w:eastAsia="CESI宋体-GB2312" w:cs="CESI宋体-GB2312"/>
          <w:sz w:val="21"/>
          <w:szCs w:val="21"/>
          <w:highlight w:val="none"/>
          <w:vertAlign w:val="subscript"/>
          <w:lang w:val="en-US" w:eastAsia="zh-CN"/>
        </w:rPr>
        <w:t>2</w:t>
      </w:r>
      <w:r>
        <w:rPr>
          <w:rFonts w:hint="eastAsia" w:ascii="CESI宋体-GB2312" w:hAnsi="CESI宋体-GB2312" w:eastAsia="CESI宋体-GB2312" w:cs="CESI宋体-GB2312"/>
          <w:sz w:val="21"/>
          <w:szCs w:val="21"/>
          <w:lang w:val="en-US" w:eastAsia="zh-CN"/>
        </w:rPr>
        <w:t>、手工监测</w:t>
      </w:r>
      <w:r>
        <w:rPr>
          <w:rFonts w:hint="eastAsia" w:ascii="CESI宋体-GB2312" w:hAnsi="CESI宋体-GB2312" w:eastAsia="CESI宋体-GB2312" w:cs="CESI宋体-GB2312"/>
          <w:sz w:val="21"/>
          <w:szCs w:val="21"/>
          <w:lang w:val="zh-CN" w:eastAsia="zh-CN"/>
        </w:rPr>
        <w:t>、</w:t>
      </w:r>
      <w:r>
        <w:rPr>
          <w:rFonts w:hint="eastAsia" w:ascii="CESI宋体-GB2312" w:hAnsi="CESI宋体-GB2312" w:eastAsia="CESI宋体-GB2312" w:cs="CESI宋体-GB2312"/>
          <w:sz w:val="21"/>
          <w:szCs w:val="21"/>
          <w:lang w:val="en-US" w:eastAsia="zh-CN"/>
        </w:rPr>
        <w:t>瓶采样、气袋采样和标准样品</w:t>
      </w:r>
      <w:r>
        <w:rPr>
          <w:rFonts w:hint="eastAsia" w:ascii="CESI宋体-GB2312" w:hAnsi="CESI宋体-GB2312" w:eastAsia="CESI宋体-GB2312" w:cs="CESI宋体-GB2312"/>
          <w:sz w:val="21"/>
          <w:szCs w:val="21"/>
          <w:lang w:val="zh-CN" w:eastAsia="zh-CN"/>
        </w:rPr>
        <w:t>。</w:t>
      </w:r>
    </w:p>
    <w:bookmarkEnd w:id="26"/>
    <w:bookmarkEnd w:id="27"/>
    <w:bookmarkEnd w:id="28"/>
    <w:p>
      <w:pPr>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color w:val="auto"/>
          <w:sz w:val="21"/>
          <w:szCs w:val="21"/>
          <w:lang w:val="en-US" w:eastAsia="zh-CN"/>
        </w:rPr>
      </w:pPr>
      <w:r>
        <w:rPr>
          <w:rFonts w:hint="eastAsia" w:ascii="CESI宋体-GB2312" w:hAnsi="CESI宋体-GB2312" w:eastAsia="CESI宋体-GB2312" w:cs="CESI宋体-GB2312"/>
          <w:color w:val="auto"/>
          <w:sz w:val="21"/>
          <w:szCs w:val="21"/>
          <w:lang w:val="en-US" w:eastAsia="zh-CN"/>
        </w:rPr>
        <w:t>7.4</w:t>
      </w:r>
      <w:bookmarkStart w:id="29" w:name="_Toc128642742"/>
      <w:r>
        <w:rPr>
          <w:rFonts w:hint="eastAsia" w:ascii="CESI宋体-GB2312" w:hAnsi="CESI宋体-GB2312" w:eastAsia="CESI宋体-GB2312" w:cs="CESI宋体-GB2312"/>
          <w:color w:val="auto"/>
          <w:sz w:val="21"/>
          <w:szCs w:val="21"/>
          <w:lang w:val="en-US" w:eastAsia="zh-CN"/>
        </w:rPr>
        <w:t xml:space="preserve">  </w:t>
      </w:r>
      <w:r>
        <w:rPr>
          <w:rFonts w:hint="eastAsia" w:ascii="CESI宋体-GB2312" w:hAnsi="CESI宋体-GB2312" w:eastAsia="CESI宋体-GB2312" w:cs="CESI宋体-GB2312"/>
          <w:color w:val="auto"/>
          <w:sz w:val="21"/>
          <w:szCs w:val="21"/>
          <w:lang w:val="zh-CN" w:eastAsia="zh-CN"/>
        </w:rPr>
        <w:t>方法原理</w:t>
      </w:r>
      <w:bookmarkEnd w:id="29"/>
    </w:p>
    <w:bookmarkEnd w:id="21"/>
    <w:p>
      <w:pPr>
        <w:keepNext w:val="0"/>
        <w:keepLines w:val="0"/>
        <w:pageBreakBefore w:val="0"/>
        <w:kinsoku/>
        <w:wordWrap/>
        <w:overflowPunct/>
        <w:topLinePunct w:val="0"/>
        <w:autoSpaceDE w:val="0"/>
        <w:autoSpaceDN w:val="0"/>
        <w:bidi w:val="0"/>
        <w:adjustRightInd w:val="0"/>
        <w:snapToGrid/>
        <w:spacing w:line="240" w:lineRule="auto"/>
        <w:ind w:firstLine="420" w:firstLineChars="200"/>
        <w:textAlignment w:val="auto"/>
        <w:rPr>
          <w:rFonts w:hint="eastAsia" w:ascii="CESI宋体-GB2312" w:hAnsi="CESI宋体-GB2312" w:eastAsia="CESI宋体-GB2312" w:cs="CESI宋体-GB2312"/>
          <w:kern w:val="0"/>
          <w:sz w:val="21"/>
          <w:szCs w:val="21"/>
          <w:highlight w:val="none"/>
        </w:rPr>
      </w:pPr>
      <w:bookmarkStart w:id="30" w:name="_Toc470274554"/>
      <w:r>
        <w:rPr>
          <w:rFonts w:hint="eastAsia" w:ascii="CESI宋体-GB2312" w:hAnsi="CESI宋体-GB2312" w:eastAsia="CESI宋体-GB2312" w:cs="CESI宋体-GB2312"/>
          <w:kern w:val="0"/>
          <w:sz w:val="21"/>
          <w:szCs w:val="21"/>
          <w:highlight w:val="none"/>
        </w:rPr>
        <w:t>大气中的CO</w:t>
      </w:r>
      <w:r>
        <w:rPr>
          <w:rFonts w:hint="eastAsia" w:ascii="CESI宋体-GB2312" w:hAnsi="CESI宋体-GB2312" w:eastAsia="CESI宋体-GB2312" w:cs="CESI宋体-GB2312"/>
          <w:kern w:val="0"/>
          <w:sz w:val="21"/>
          <w:szCs w:val="21"/>
          <w:highlight w:val="none"/>
          <w:vertAlign w:val="subscript"/>
        </w:rPr>
        <w:t>2</w:t>
      </w:r>
      <w:r>
        <w:rPr>
          <w:rFonts w:hint="eastAsia" w:ascii="CESI宋体-GB2312" w:hAnsi="CESI宋体-GB2312" w:eastAsia="CESI宋体-GB2312" w:cs="CESI宋体-GB2312"/>
          <w:kern w:val="0"/>
          <w:sz w:val="21"/>
          <w:szCs w:val="21"/>
          <w:highlight w:val="none"/>
        </w:rPr>
        <w:t>经低温分离纯化后，在铁粉催化下，使用锌</w:t>
      </w:r>
      <w:r>
        <w:rPr>
          <w:rFonts w:hint="eastAsia" w:ascii="CESI宋体-GB2312" w:hAnsi="CESI宋体-GB2312" w:eastAsia="CESI宋体-GB2312" w:cs="CESI宋体-GB2312"/>
          <w:kern w:val="0"/>
          <w:sz w:val="21"/>
          <w:szCs w:val="21"/>
          <w:highlight w:val="none"/>
          <w:lang w:eastAsia="zh-Hans"/>
        </w:rPr>
        <w:t>粒</w:t>
      </w:r>
      <w:r>
        <w:rPr>
          <w:rFonts w:hint="eastAsia" w:ascii="CESI宋体-GB2312" w:hAnsi="CESI宋体-GB2312" w:eastAsia="CESI宋体-GB2312" w:cs="CESI宋体-GB2312"/>
          <w:kern w:val="0"/>
          <w:sz w:val="21"/>
          <w:szCs w:val="21"/>
          <w:highlight w:val="none"/>
        </w:rPr>
        <w:t>或氢气等还原剂</w:t>
      </w:r>
      <w:r>
        <w:rPr>
          <w:rFonts w:hint="eastAsia" w:ascii="CESI宋体-GB2312" w:hAnsi="CESI宋体-GB2312" w:eastAsia="CESI宋体-GB2312" w:cs="CESI宋体-GB2312"/>
          <w:kern w:val="0"/>
          <w:sz w:val="21"/>
          <w:szCs w:val="21"/>
          <w:highlight w:val="none"/>
          <w:lang w:eastAsia="zh-Hans"/>
        </w:rPr>
        <w:t>将</w:t>
      </w:r>
      <w:r>
        <w:rPr>
          <w:rFonts w:hint="eastAsia" w:ascii="CESI宋体-GB2312" w:hAnsi="CESI宋体-GB2312" w:eastAsia="CESI宋体-GB2312" w:cs="CESI宋体-GB2312"/>
          <w:kern w:val="0"/>
          <w:sz w:val="21"/>
          <w:szCs w:val="21"/>
          <w:highlight w:val="none"/>
        </w:rPr>
        <w:t>CO2还原成石墨，制成</w:t>
      </w:r>
      <w:r>
        <w:rPr>
          <w:rFonts w:hint="eastAsia" w:ascii="CESI宋体-GB2312" w:hAnsi="CESI宋体-GB2312" w:eastAsia="CESI宋体-GB2312" w:cs="CESI宋体-GB2312"/>
          <w:sz w:val="21"/>
          <w:szCs w:val="21"/>
          <w:highlight w:val="none"/>
        </w:rPr>
        <w:t>碳靶</w:t>
      </w:r>
      <w:r>
        <w:rPr>
          <w:rFonts w:hint="eastAsia" w:ascii="CESI宋体-GB2312" w:hAnsi="CESI宋体-GB2312" w:eastAsia="CESI宋体-GB2312" w:cs="CESI宋体-GB2312"/>
          <w:kern w:val="0"/>
          <w:sz w:val="21"/>
          <w:szCs w:val="21"/>
          <w:highlight w:val="none"/>
        </w:rPr>
        <w:t>，</w:t>
      </w:r>
      <w:r>
        <w:rPr>
          <w:rFonts w:hint="eastAsia" w:ascii="CESI宋体-GB2312" w:hAnsi="CESI宋体-GB2312" w:eastAsia="CESI宋体-GB2312" w:cs="CESI宋体-GB2312"/>
          <w:sz w:val="21"/>
          <w:szCs w:val="21"/>
          <w:highlight w:val="none"/>
        </w:rPr>
        <w:t>将碳靶样品和同位素标准品以一定的顺序置于加速器质谱进行分析</w:t>
      </w:r>
      <w:r>
        <w:rPr>
          <w:rFonts w:hint="eastAsia" w:ascii="CESI宋体-GB2312" w:hAnsi="CESI宋体-GB2312" w:eastAsia="CESI宋体-GB2312" w:cs="CESI宋体-GB2312"/>
          <w:kern w:val="0"/>
          <w:sz w:val="21"/>
          <w:szCs w:val="21"/>
          <w:highlight w:val="none"/>
        </w:rPr>
        <w:t>，经过</w:t>
      </w:r>
      <w:r>
        <w:rPr>
          <w:rFonts w:hint="eastAsia" w:ascii="CESI宋体-GB2312" w:hAnsi="CESI宋体-GB2312" w:eastAsia="CESI宋体-GB2312" w:cs="CESI宋体-GB2312"/>
          <w:kern w:val="0"/>
          <w:sz w:val="21"/>
          <w:szCs w:val="21"/>
          <w:highlight w:val="none"/>
          <w:lang w:val="en-US" w:eastAsia="zh-CN"/>
        </w:rPr>
        <w:t>同一样品的</w:t>
      </w:r>
      <w:r>
        <w:rPr>
          <w:rFonts w:hint="eastAsia" w:ascii="CESI宋体-GB2312" w:hAnsi="CESI宋体-GB2312" w:eastAsia="CESI宋体-GB2312" w:cs="CESI宋体-GB2312"/>
          <w:kern w:val="0"/>
          <w:sz w:val="21"/>
          <w:szCs w:val="21"/>
          <w:highlight w:val="none"/>
          <w:vertAlign w:val="superscript"/>
        </w:rPr>
        <w:t>13</w:t>
      </w:r>
      <w:r>
        <w:rPr>
          <w:rFonts w:hint="eastAsia" w:ascii="CESI宋体-GB2312" w:hAnsi="CESI宋体-GB2312" w:eastAsia="CESI宋体-GB2312" w:cs="CESI宋体-GB2312"/>
          <w:kern w:val="0"/>
          <w:sz w:val="21"/>
          <w:szCs w:val="21"/>
          <w:highlight w:val="none"/>
        </w:rPr>
        <w:t>C测定值分馏校正后，得到大气样品中CO2的</w:t>
      </w:r>
      <w:r>
        <w:rPr>
          <w:rFonts w:hint="eastAsia" w:ascii="CESI宋体-GB2312" w:hAnsi="CESI宋体-GB2312" w:eastAsia="CESI宋体-GB2312" w:cs="CESI宋体-GB2312"/>
          <w:kern w:val="0"/>
          <w:sz w:val="21"/>
          <w:szCs w:val="21"/>
          <w:highlight w:val="none"/>
          <w:vertAlign w:val="superscript"/>
        </w:rPr>
        <w:t>14</w:t>
      </w:r>
      <w:r>
        <w:rPr>
          <w:rFonts w:hint="eastAsia" w:ascii="CESI宋体-GB2312" w:hAnsi="CESI宋体-GB2312" w:eastAsia="CESI宋体-GB2312" w:cs="CESI宋体-GB2312"/>
          <w:kern w:val="0"/>
          <w:sz w:val="21"/>
          <w:szCs w:val="21"/>
          <w:highlight w:val="none"/>
        </w:rPr>
        <w:t>C值。</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rPr>
        <w:t>锌还原法是将大气CO</w:t>
      </w:r>
      <w:r>
        <w:rPr>
          <w:rFonts w:hint="eastAsia" w:ascii="CESI宋体-GB2312" w:hAnsi="CESI宋体-GB2312" w:eastAsia="CESI宋体-GB2312" w:cs="CESI宋体-GB2312"/>
          <w:sz w:val="21"/>
          <w:szCs w:val="21"/>
          <w:highlight w:val="none"/>
          <w:vertAlign w:val="subscript"/>
        </w:rPr>
        <w:t>2</w:t>
      </w:r>
      <w:r>
        <w:rPr>
          <w:rFonts w:hint="eastAsia" w:ascii="CESI宋体-GB2312" w:hAnsi="CESI宋体-GB2312" w:eastAsia="CESI宋体-GB2312" w:cs="CESI宋体-GB2312"/>
          <w:sz w:val="21"/>
          <w:szCs w:val="21"/>
          <w:highlight w:val="none"/>
        </w:rPr>
        <w:t>收集管与还原反应装置</w:t>
      </w:r>
      <w:r>
        <w:rPr>
          <w:rFonts w:hint="eastAsia" w:ascii="CESI宋体-GB2312" w:hAnsi="CESI宋体-GB2312" w:eastAsia="CESI宋体-GB2312" w:cs="CESI宋体-GB2312"/>
          <w:sz w:val="21"/>
          <w:szCs w:val="21"/>
          <w:highlight w:val="none"/>
          <w:lang w:eastAsia="zh-Hans"/>
        </w:rPr>
        <w:t>相</w:t>
      </w:r>
      <w:r>
        <w:rPr>
          <w:rFonts w:hint="eastAsia" w:ascii="CESI宋体-GB2312" w:hAnsi="CESI宋体-GB2312" w:eastAsia="CESI宋体-GB2312" w:cs="CESI宋体-GB2312"/>
          <w:sz w:val="21"/>
          <w:szCs w:val="21"/>
          <w:highlight w:val="none"/>
        </w:rPr>
        <w:t>连接，</w:t>
      </w:r>
      <w:r>
        <w:rPr>
          <w:rFonts w:hint="eastAsia" w:ascii="CESI宋体-GB2312" w:hAnsi="CESI宋体-GB2312" w:eastAsia="CESI宋体-GB2312" w:cs="CESI宋体-GB2312"/>
          <w:sz w:val="21"/>
          <w:szCs w:val="21"/>
          <w:highlight w:val="none"/>
          <w:lang w:eastAsia="zh-Hans"/>
        </w:rPr>
        <w:t>使用</w:t>
      </w:r>
      <w:r>
        <w:rPr>
          <w:rFonts w:hint="eastAsia" w:ascii="CESI宋体-GB2312" w:hAnsi="CESI宋体-GB2312" w:eastAsia="CESI宋体-GB2312" w:cs="CESI宋体-GB2312"/>
          <w:sz w:val="21"/>
          <w:szCs w:val="21"/>
          <w:highlight w:val="none"/>
        </w:rPr>
        <w:t>电炉对还原反应管</w:t>
      </w:r>
      <w:r>
        <w:rPr>
          <w:rFonts w:hint="eastAsia" w:ascii="CESI宋体-GB2312" w:hAnsi="CESI宋体-GB2312" w:eastAsia="CESI宋体-GB2312" w:cs="CESI宋体-GB2312"/>
          <w:sz w:val="21"/>
          <w:szCs w:val="21"/>
          <w:highlight w:val="none"/>
          <w:lang w:eastAsia="zh-Hans"/>
        </w:rPr>
        <w:t>进行</w:t>
      </w:r>
      <w:r>
        <w:rPr>
          <w:rFonts w:hint="eastAsia" w:ascii="CESI宋体-GB2312" w:hAnsi="CESI宋体-GB2312" w:eastAsia="CESI宋体-GB2312" w:cs="CESI宋体-GB2312"/>
          <w:sz w:val="21"/>
          <w:szCs w:val="21"/>
          <w:highlight w:val="none"/>
        </w:rPr>
        <w:t>加热，使纯化的CO</w:t>
      </w:r>
      <w:r>
        <w:rPr>
          <w:rFonts w:hint="eastAsia" w:ascii="CESI宋体-GB2312" w:hAnsi="CESI宋体-GB2312" w:eastAsia="CESI宋体-GB2312" w:cs="CESI宋体-GB2312"/>
          <w:sz w:val="21"/>
          <w:szCs w:val="21"/>
          <w:highlight w:val="none"/>
          <w:vertAlign w:val="subscript"/>
        </w:rPr>
        <w:t>2</w:t>
      </w:r>
      <w:r>
        <w:rPr>
          <w:rFonts w:hint="eastAsia" w:ascii="CESI宋体-GB2312" w:hAnsi="CESI宋体-GB2312" w:eastAsia="CESI宋体-GB2312" w:cs="CESI宋体-GB2312"/>
          <w:sz w:val="21"/>
          <w:szCs w:val="21"/>
          <w:highlight w:val="none"/>
        </w:rPr>
        <w:t>气体与Zn</w:t>
      </w:r>
      <w:r>
        <w:rPr>
          <w:rFonts w:hint="eastAsia" w:ascii="CESI宋体-GB2312" w:hAnsi="CESI宋体-GB2312" w:eastAsia="CESI宋体-GB2312" w:cs="CESI宋体-GB2312"/>
          <w:sz w:val="21"/>
          <w:szCs w:val="21"/>
          <w:highlight w:val="none"/>
          <w:lang w:eastAsia="zh-Hans"/>
        </w:rPr>
        <w:t>粒</w:t>
      </w:r>
      <w:r>
        <w:rPr>
          <w:rFonts w:hint="eastAsia" w:ascii="CESI宋体-GB2312" w:hAnsi="CESI宋体-GB2312" w:eastAsia="CESI宋体-GB2312" w:cs="CESI宋体-GB2312"/>
          <w:sz w:val="21"/>
          <w:szCs w:val="21"/>
          <w:highlight w:val="none"/>
        </w:rPr>
        <w:t>管中的Zn</w:t>
      </w:r>
      <w:r>
        <w:rPr>
          <w:rFonts w:hint="eastAsia" w:ascii="CESI宋体-GB2312" w:hAnsi="CESI宋体-GB2312" w:eastAsia="CESI宋体-GB2312" w:cs="CESI宋体-GB2312"/>
          <w:sz w:val="21"/>
          <w:szCs w:val="21"/>
          <w:highlight w:val="none"/>
          <w:lang w:eastAsia="zh-Hans"/>
        </w:rPr>
        <w:t>粒</w:t>
      </w:r>
      <w:r>
        <w:rPr>
          <w:rFonts w:hint="eastAsia" w:ascii="CESI宋体-GB2312" w:hAnsi="CESI宋体-GB2312" w:eastAsia="CESI宋体-GB2312" w:cs="CESI宋体-GB2312"/>
          <w:sz w:val="21"/>
          <w:szCs w:val="21"/>
          <w:highlight w:val="none"/>
        </w:rPr>
        <w:t>加热生成CO，然后在Fe粉管中与Fe粉表面发生还原反应，</w:t>
      </w:r>
      <w:r>
        <w:rPr>
          <w:rFonts w:hint="eastAsia" w:ascii="CESI宋体-GB2312" w:hAnsi="CESI宋体-GB2312" w:eastAsia="CESI宋体-GB2312" w:cs="CESI宋体-GB2312"/>
          <w:sz w:val="21"/>
          <w:szCs w:val="21"/>
          <w:highlight w:val="none"/>
          <w:lang w:eastAsia="zh-Hans"/>
        </w:rPr>
        <w:t>将CO</w:t>
      </w:r>
      <w:r>
        <w:rPr>
          <w:rFonts w:hint="eastAsia" w:ascii="CESI宋体-GB2312" w:hAnsi="CESI宋体-GB2312" w:eastAsia="CESI宋体-GB2312" w:cs="CESI宋体-GB2312"/>
          <w:sz w:val="21"/>
          <w:szCs w:val="21"/>
          <w:highlight w:val="none"/>
          <w:vertAlign w:val="subscript"/>
          <w:lang w:eastAsia="zh-Hans"/>
        </w:rPr>
        <w:t>2</w:t>
      </w:r>
      <w:r>
        <w:rPr>
          <w:rFonts w:hint="eastAsia" w:ascii="CESI宋体-GB2312" w:hAnsi="CESI宋体-GB2312" w:eastAsia="CESI宋体-GB2312" w:cs="CESI宋体-GB2312"/>
          <w:sz w:val="21"/>
          <w:szCs w:val="21"/>
          <w:highlight w:val="none"/>
          <w:lang w:eastAsia="zh-Hans"/>
        </w:rPr>
        <w:t>还原成石墨，</w:t>
      </w:r>
      <w:r>
        <w:rPr>
          <w:rFonts w:hint="eastAsia" w:ascii="CESI宋体-GB2312" w:hAnsi="CESI宋体-GB2312" w:eastAsia="CESI宋体-GB2312" w:cs="CESI宋体-GB2312"/>
          <w:sz w:val="21"/>
          <w:szCs w:val="21"/>
          <w:highlight w:val="none"/>
        </w:rPr>
        <w:t>附着在Fe粉表面。</w:t>
      </w:r>
    </w:p>
    <w:p>
      <w:pPr>
        <w:pStyle w:val="39"/>
        <w:keepNext w:val="0"/>
        <w:keepLines w:val="0"/>
        <w:pageBreakBefore w:val="0"/>
        <w:kinsoku/>
        <w:wordWrap/>
        <w:overflowPunct/>
        <w:topLinePunct w:val="0"/>
        <w:bidi w:val="0"/>
        <w:snapToGrid/>
        <w:spacing w:line="240" w:lineRule="auto"/>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lang w:bidi="ar"/>
        </w:rPr>
        <w:t>氢还原</w:t>
      </w:r>
      <w:r>
        <w:rPr>
          <w:rFonts w:hint="eastAsia" w:ascii="CESI宋体-GB2312" w:hAnsi="CESI宋体-GB2312" w:eastAsia="CESI宋体-GB2312" w:cs="CESI宋体-GB2312"/>
          <w:sz w:val="21"/>
          <w:szCs w:val="21"/>
          <w:highlight w:val="none"/>
          <w:lang w:eastAsia="zh-Hans" w:bidi="ar"/>
        </w:rPr>
        <w:t>法是</w:t>
      </w:r>
      <w:r>
        <w:rPr>
          <w:rFonts w:hint="eastAsia" w:ascii="CESI宋体-GB2312" w:hAnsi="CESI宋体-GB2312" w:eastAsia="CESI宋体-GB2312" w:cs="CESI宋体-GB2312"/>
          <w:sz w:val="21"/>
          <w:szCs w:val="21"/>
          <w:highlight w:val="none"/>
          <w:lang w:bidi="ar"/>
        </w:rPr>
        <w:t>将纯化好的CO</w:t>
      </w:r>
      <w:r>
        <w:rPr>
          <w:rFonts w:hint="eastAsia" w:ascii="CESI宋体-GB2312" w:hAnsi="CESI宋体-GB2312" w:eastAsia="CESI宋体-GB2312" w:cs="CESI宋体-GB2312"/>
          <w:sz w:val="21"/>
          <w:szCs w:val="21"/>
          <w:highlight w:val="none"/>
          <w:vertAlign w:val="subscript"/>
          <w:lang w:bidi="ar"/>
        </w:rPr>
        <w:t>2</w:t>
      </w:r>
      <w:r>
        <w:rPr>
          <w:rFonts w:hint="eastAsia" w:ascii="CESI宋体-GB2312" w:hAnsi="CESI宋体-GB2312" w:eastAsia="CESI宋体-GB2312" w:cs="CESI宋体-GB2312"/>
          <w:sz w:val="21"/>
          <w:szCs w:val="21"/>
          <w:highlight w:val="none"/>
          <w:lang w:bidi="ar"/>
        </w:rPr>
        <w:t>气体用液氮冷阱转移入已放入</w:t>
      </w:r>
      <w:r>
        <w:rPr>
          <w:rFonts w:hint="eastAsia" w:ascii="CESI宋体-GB2312" w:hAnsi="CESI宋体-GB2312" w:eastAsia="CESI宋体-GB2312" w:cs="CESI宋体-GB2312"/>
          <w:sz w:val="21"/>
          <w:szCs w:val="21"/>
          <w:highlight w:val="none"/>
        </w:rPr>
        <w:t>Fe粉</w:t>
      </w:r>
      <w:r>
        <w:rPr>
          <w:rFonts w:hint="eastAsia" w:ascii="CESI宋体-GB2312" w:hAnsi="CESI宋体-GB2312" w:eastAsia="CESI宋体-GB2312" w:cs="CESI宋体-GB2312"/>
          <w:sz w:val="21"/>
          <w:szCs w:val="21"/>
          <w:highlight w:val="none"/>
          <w:lang w:bidi="ar"/>
        </w:rPr>
        <w:t>并预抽真空的石英玻璃管回路中，混入一定比例的H</w:t>
      </w:r>
      <w:r>
        <w:rPr>
          <w:rFonts w:hint="eastAsia" w:ascii="CESI宋体-GB2312" w:hAnsi="CESI宋体-GB2312" w:eastAsia="CESI宋体-GB2312" w:cs="CESI宋体-GB2312"/>
          <w:sz w:val="21"/>
          <w:szCs w:val="21"/>
          <w:highlight w:val="none"/>
          <w:vertAlign w:val="subscript"/>
          <w:lang w:bidi="ar"/>
        </w:rPr>
        <w:t>2</w:t>
      </w:r>
      <w:r>
        <w:rPr>
          <w:rFonts w:hint="eastAsia" w:ascii="CESI宋体-GB2312" w:hAnsi="CESI宋体-GB2312" w:eastAsia="CESI宋体-GB2312" w:cs="CESI宋体-GB2312"/>
          <w:sz w:val="21"/>
          <w:szCs w:val="21"/>
          <w:highlight w:val="none"/>
          <w:lang w:bidi="ar"/>
        </w:rPr>
        <w:t>，进行加热催化反应，形成</w:t>
      </w:r>
      <w:r>
        <w:rPr>
          <w:rFonts w:hint="eastAsia" w:ascii="CESI宋体-GB2312" w:hAnsi="CESI宋体-GB2312" w:eastAsia="CESI宋体-GB2312" w:cs="CESI宋体-GB2312"/>
          <w:sz w:val="21"/>
          <w:szCs w:val="21"/>
          <w:highlight w:val="none"/>
          <w:lang w:val="en-US" w:eastAsia="zh-CN" w:bidi="ar"/>
        </w:rPr>
        <w:t>的</w:t>
      </w:r>
      <w:r>
        <w:rPr>
          <w:rFonts w:hint="eastAsia" w:ascii="CESI宋体-GB2312" w:hAnsi="CESI宋体-GB2312" w:eastAsia="CESI宋体-GB2312" w:cs="CESI宋体-GB2312"/>
          <w:sz w:val="21"/>
          <w:szCs w:val="21"/>
          <w:highlight w:val="none"/>
          <w:lang w:bidi="ar"/>
        </w:rPr>
        <w:t>石墨</w:t>
      </w:r>
      <w:r>
        <w:rPr>
          <w:rFonts w:hint="eastAsia" w:ascii="CESI宋体-GB2312" w:hAnsi="CESI宋体-GB2312" w:eastAsia="CESI宋体-GB2312" w:cs="CESI宋体-GB2312"/>
          <w:sz w:val="21"/>
          <w:szCs w:val="21"/>
          <w:highlight w:val="none"/>
          <w:lang w:val="en-US" w:eastAsia="zh-CN" w:bidi="ar"/>
        </w:rPr>
        <w:t>附着在</w:t>
      </w:r>
      <w:r>
        <w:rPr>
          <w:rFonts w:hint="eastAsia" w:ascii="CESI宋体-GB2312" w:hAnsi="CESI宋体-GB2312" w:eastAsia="CESI宋体-GB2312" w:cs="CESI宋体-GB2312"/>
          <w:sz w:val="21"/>
          <w:szCs w:val="21"/>
          <w:highlight w:val="none"/>
          <w:lang w:bidi="ar"/>
        </w:rPr>
        <w:t>Fe</w:t>
      </w:r>
      <w:r>
        <w:rPr>
          <w:rFonts w:hint="eastAsia" w:ascii="CESI宋体-GB2312" w:hAnsi="CESI宋体-GB2312" w:eastAsia="CESI宋体-GB2312" w:cs="CESI宋体-GB2312"/>
          <w:sz w:val="21"/>
          <w:szCs w:val="21"/>
          <w:highlight w:val="none"/>
          <w:lang w:val="en-US" w:eastAsia="zh-CN" w:bidi="ar"/>
        </w:rPr>
        <w:t>粉</w:t>
      </w:r>
      <w:r>
        <w:rPr>
          <w:rFonts w:hint="eastAsia" w:ascii="CESI宋体-GB2312" w:hAnsi="CESI宋体-GB2312" w:eastAsia="CESI宋体-GB2312" w:cs="CESI宋体-GB2312"/>
          <w:sz w:val="21"/>
          <w:szCs w:val="21"/>
          <w:highlight w:val="none"/>
          <w:lang w:bidi="ar"/>
        </w:rPr>
        <w:t>表面。</w:t>
      </w:r>
    </w:p>
    <w:p>
      <w:pPr>
        <w:keepNext w:val="0"/>
        <w:keepLines w:val="0"/>
        <w:pageBreakBefore w:val="0"/>
        <w:kinsoku/>
        <w:wordWrap/>
        <w:overflowPunct/>
        <w:topLinePunct w:val="0"/>
        <w:autoSpaceDE w:val="0"/>
        <w:autoSpaceDN w:val="0"/>
        <w:bidi w:val="0"/>
        <w:adjustRightInd w:val="0"/>
        <w:snapToGrid/>
        <w:spacing w:line="240" w:lineRule="auto"/>
        <w:ind w:firstLine="420" w:firstLineChars="200"/>
        <w:textAlignment w:val="auto"/>
        <w:rPr>
          <w:rFonts w:hint="eastAsia" w:ascii="CESI宋体-GB2312" w:hAnsi="CESI宋体-GB2312" w:eastAsia="CESI宋体-GB2312" w:cs="CESI宋体-GB2312"/>
          <w:kern w:val="0"/>
          <w:sz w:val="21"/>
          <w:szCs w:val="21"/>
          <w:highlight w:val="none"/>
        </w:rPr>
      </w:pPr>
      <w:r>
        <w:rPr>
          <w:rFonts w:hint="eastAsia" w:ascii="CESI宋体-GB2312" w:hAnsi="CESI宋体-GB2312" w:eastAsia="CESI宋体-GB2312" w:cs="CESI宋体-GB2312"/>
          <w:kern w:val="0"/>
          <w:sz w:val="21"/>
          <w:szCs w:val="21"/>
          <w:highlight w:val="none"/>
        </w:rPr>
        <w:t>各方法的化学反应公式如下：</w:t>
      </w:r>
    </w:p>
    <w:p>
      <w:pPr>
        <w:pStyle w:val="39"/>
        <w:keepNext w:val="0"/>
        <w:keepLines w:val="0"/>
        <w:pageBreakBefore w:val="0"/>
        <w:kinsoku/>
        <w:wordWrap/>
        <w:overflowPunct/>
        <w:topLinePunct w:val="0"/>
        <w:bidi w:val="0"/>
        <w:snapToGrid/>
        <w:spacing w:line="240" w:lineRule="auto"/>
        <w:jc w:val="left"/>
        <w:textAlignment w:val="auto"/>
        <w:rPr>
          <w:rFonts w:hint="eastAsia" w:ascii="CESI宋体-GB2312" w:hAnsi="CESI宋体-GB2312" w:eastAsia="CESI宋体-GB2312" w:cs="CESI宋体-GB2312"/>
          <w:sz w:val="21"/>
          <w:szCs w:val="21"/>
          <w:highlight w:val="none"/>
        </w:rPr>
      </w:pPr>
      <w:r>
        <w:rPr>
          <w:rFonts w:hint="eastAsia" w:ascii="CESI宋体-GB2312" w:hAnsi="CESI宋体-GB2312" w:eastAsia="CESI宋体-GB2312" w:cs="CESI宋体-GB2312"/>
          <w:sz w:val="21"/>
          <w:szCs w:val="21"/>
          <w:highlight w:val="none"/>
          <w:lang w:eastAsia="zh-Hans"/>
        </w:rPr>
        <w:t>a</w:t>
      </w:r>
      <w:r>
        <w:rPr>
          <w:rFonts w:hint="eastAsia" w:ascii="CESI宋体-GB2312" w:hAnsi="CESI宋体-GB2312" w:eastAsia="CESI宋体-GB2312" w:cs="CESI宋体-GB2312"/>
          <w:sz w:val="21"/>
          <w:szCs w:val="21"/>
          <w:highlight w:val="none"/>
        </w:rPr>
        <w:t>）锌还原法（简称锌法）：</w:t>
      </w:r>
    </w:p>
    <w:p>
      <w:pPr>
        <w:pStyle w:val="39"/>
        <w:ind w:firstLine="0" w:firstLineChars="0"/>
        <w:jc w:val="center"/>
        <w:rPr>
          <w:rFonts w:hint="eastAsia" w:hAnsi="宋体" w:eastAsia="宋体"/>
          <w:highlight w:val="none"/>
          <w:lang w:val="en-US" w:eastAsia="zh-CN"/>
        </w:rPr>
      </w:pPr>
      <w:r>
        <w:rPr>
          <w:rFonts w:hAnsi="宋体"/>
          <w:position w:val="-10"/>
          <w:highlight w:val="none"/>
        </w:rPr>
        <w:object>
          <v:shape id="_x0000_i1025" o:spt="75" alt="" type="#_x0000_t75" style="height:17.55pt;width:115.05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hAnsi="宋体"/>
          <w:position w:val="-34"/>
          <w:highlight w:val="none"/>
          <w:lang w:val="en-US" w:eastAsia="zh-CN"/>
        </w:rPr>
        <w:t xml:space="preserve">     </w:t>
      </w:r>
      <w:r>
        <w:rPr>
          <w:rFonts w:hint="eastAsia" w:hAnsi="宋体"/>
          <w:position w:val="-34"/>
          <w:highlight w:val="none"/>
          <w:lang w:val="en-US" w:eastAsia="zh-CN"/>
        </w:rPr>
        <w:tab/>
      </w:r>
      <w:r>
        <w:rPr>
          <w:rFonts w:hint="eastAsia" w:ascii="Times New Roman"/>
          <w:highlight w:val="none"/>
          <w:lang w:val="en-US" w:eastAsia="zh-CN"/>
        </w:rPr>
        <w:t>（1）</w:t>
      </w:r>
    </w:p>
    <w:p>
      <w:pPr>
        <w:pStyle w:val="39"/>
        <w:ind w:firstLine="0" w:firstLineChars="0"/>
        <w:jc w:val="center"/>
        <w:rPr>
          <w:rFonts w:hAnsi="宋体"/>
          <w:highlight w:val="none"/>
        </w:rPr>
      </w:pPr>
      <w:r>
        <w:rPr>
          <w:rFonts w:hAnsi="宋体"/>
          <w:position w:val="-12"/>
          <w:highlight w:val="none"/>
        </w:rPr>
        <w:object>
          <v:shape id="_x0000_i1026" o:spt="75" type="#_x0000_t75" style="height:18.6pt;width:127.75pt;" o:ole="t" filled="f" o:preferrelative="t" stroked="f" coordsize="21600,21600">
            <v:path/>
            <v:fill on="f" focussize="0,0"/>
            <v:stroke on="f"/>
            <v:imagedata r:id="rId12" o:title=""/>
            <o:lock v:ext="edit" aspectratio="t"/>
            <w10:wrap type="none"/>
            <w10:anchorlock/>
          </v:shape>
          <o:OLEObject Type="Embed" ProgID="Equation.KSEE3" ShapeID="_x0000_i1026" DrawAspect="Content" ObjectID="_1468075726" r:id="rId11">
            <o:LockedField>false</o:LockedField>
          </o:OLEObject>
        </w:object>
      </w:r>
      <w:r>
        <w:rPr>
          <w:rFonts w:hint="eastAsia" w:hAnsi="宋体"/>
          <w:position w:val="-34"/>
          <w:highlight w:val="none"/>
          <w:lang w:val="en-US" w:eastAsia="zh-CN"/>
        </w:rPr>
        <w:tab/>
      </w:r>
      <w:r>
        <w:rPr>
          <w:rFonts w:hint="eastAsia" w:ascii="Times New Roman"/>
          <w:highlight w:val="none"/>
          <w:lang w:val="en-US" w:eastAsia="zh-CN"/>
        </w:rPr>
        <w:t>（2）</w:t>
      </w:r>
    </w:p>
    <w:p>
      <w:pPr>
        <w:pStyle w:val="39"/>
        <w:spacing w:line="360" w:lineRule="auto"/>
        <w:ind w:left="420" w:firstLine="0" w:firstLineChars="0"/>
        <w:jc w:val="left"/>
        <w:rPr>
          <w:rFonts w:ascii="Times New Roman"/>
          <w:szCs w:val="21"/>
          <w:highlight w:val="none"/>
        </w:rPr>
      </w:pPr>
      <w:r>
        <w:rPr>
          <w:rFonts w:hint="eastAsia" w:ascii="Times New Roman"/>
          <w:szCs w:val="21"/>
          <w:highlight w:val="none"/>
          <w:lang w:eastAsia="zh-Hans"/>
        </w:rPr>
        <w:t>b</w:t>
      </w:r>
      <w:r>
        <w:rPr>
          <w:rFonts w:ascii="Times New Roman"/>
          <w:szCs w:val="21"/>
          <w:highlight w:val="none"/>
        </w:rPr>
        <w:t>）氢还原法（简称氢法）：</w:t>
      </w:r>
    </w:p>
    <w:p>
      <w:pPr>
        <w:pStyle w:val="39"/>
        <w:ind w:left="0" w:leftChars="0" w:firstLine="0" w:firstLineChars="0"/>
        <w:jc w:val="center"/>
        <w:rPr>
          <w:rFonts w:hAnsi="宋体"/>
          <w:position w:val="-54"/>
          <w:highlight w:val="none"/>
        </w:rPr>
      </w:pPr>
      <w:r>
        <w:rPr>
          <w:rFonts w:hAnsi="宋体"/>
          <w:position w:val="-10"/>
          <w:highlight w:val="none"/>
        </w:rPr>
        <w:object>
          <v:shape id="_x0000_i1027" o:spt="75" type="#_x0000_t75" style="height:16.5pt;width:112.6pt;" o:ole="t" filled="f" o:preferrelative="t" stroked="f" coordsize="21600,21600">
            <v:path/>
            <v:fill on="f" focussize="0,0"/>
            <v:stroke on="f"/>
            <v:imagedata r:id="rId14" o:title=""/>
            <o:lock v:ext="edit" aspectratio="t"/>
            <w10:wrap type="none"/>
            <w10:anchorlock/>
          </v:shape>
          <o:OLEObject Type="Embed" ProgID="Equation.KSEE3" ShapeID="_x0000_i1027" DrawAspect="Content" ObjectID="_1468075727" r:id="rId13">
            <o:LockedField>false</o:LockedField>
          </o:OLEObject>
        </w:object>
      </w:r>
      <w:r>
        <w:rPr>
          <w:rFonts w:hint="eastAsia" w:hAnsi="宋体"/>
          <w:position w:val="-54"/>
          <w:highlight w:val="none"/>
          <w:lang w:val="en-US" w:eastAsia="zh-CN"/>
        </w:rPr>
        <w:tab/>
      </w:r>
      <w:r>
        <w:rPr>
          <w:rFonts w:hint="eastAsia" w:ascii="Times New Roman"/>
          <w:highlight w:val="none"/>
          <w:lang w:val="en-US" w:eastAsia="zh-CN"/>
        </w:rPr>
        <w:t>（3）</w:t>
      </w:r>
    </w:p>
    <w:p>
      <w:pPr>
        <w:pStyle w:val="39"/>
        <w:ind w:left="0" w:leftChars="0" w:firstLine="0" w:firstLineChars="0"/>
        <w:jc w:val="center"/>
        <w:rPr>
          <w:rFonts w:hAnsi="宋体"/>
          <w:position w:val="-54"/>
          <w:highlight w:val="none"/>
        </w:rPr>
      </w:pPr>
      <w:r>
        <w:rPr>
          <w:rFonts w:hAnsi="宋体"/>
          <w:position w:val="-12"/>
          <w:highlight w:val="none"/>
        </w:rPr>
        <w:object>
          <v:shape id="_x0000_i1028" o:spt="75" type="#_x0000_t75" style="height:17.4pt;width:137.3pt;" o:ole="t" filled="f" o:preferrelative="t" stroked="f" coordsize="21600,21600">
            <v:path/>
            <v:fill on="f" focussize="0,0"/>
            <v:stroke on="f"/>
            <v:imagedata r:id="rId16" o:title=""/>
            <o:lock v:ext="edit" aspectratio="t"/>
            <w10:wrap type="none"/>
            <w10:anchorlock/>
          </v:shape>
          <o:OLEObject Type="Embed" ProgID="Equation.KSEE3" ShapeID="_x0000_i1028" DrawAspect="Content" ObjectID="_1468075728" r:id="rId15">
            <o:LockedField>false</o:LockedField>
          </o:OLEObject>
        </w:object>
      </w:r>
      <w:r>
        <w:rPr>
          <w:rFonts w:hint="eastAsia" w:hAnsi="宋体"/>
          <w:position w:val="-54"/>
          <w:highlight w:val="none"/>
          <w:lang w:val="en-US" w:eastAsia="zh-CN"/>
        </w:rPr>
        <w:tab/>
      </w:r>
      <w:r>
        <w:rPr>
          <w:rFonts w:hint="eastAsia" w:ascii="Times New Roman"/>
          <w:highlight w:val="none"/>
          <w:lang w:val="en-US" w:eastAsia="zh-CN"/>
        </w:rPr>
        <w:t>（4）</w:t>
      </w:r>
    </w:p>
    <w:p>
      <w:pPr>
        <w:pStyle w:val="39"/>
        <w:ind w:left="0" w:leftChars="0" w:firstLine="0" w:firstLineChars="0"/>
        <w:jc w:val="center"/>
        <w:rPr>
          <w:rFonts w:hint="default" w:ascii="Times New Roman" w:hAnsi="Times New Roman" w:eastAsia="宋体" w:cs="Times New Roman"/>
        </w:rPr>
      </w:pPr>
      <w:r>
        <w:rPr>
          <w:rFonts w:hAnsi="宋体"/>
          <w:position w:val="-12"/>
          <w:highlight w:val="none"/>
        </w:rPr>
        <w:object>
          <v:shape id="_x0000_i1029" o:spt="75" type="#_x0000_t75" style="height:17.4pt;width:121.75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hAnsi="宋体"/>
          <w:position w:val="-54"/>
          <w:highlight w:val="none"/>
          <w:lang w:val="en-US" w:eastAsia="zh-CN"/>
        </w:rPr>
        <w:tab/>
      </w:r>
      <w:r>
        <w:rPr>
          <w:rFonts w:hint="eastAsia" w:ascii="Times New Roman"/>
          <w:highlight w:val="none"/>
          <w:lang w:val="en-US" w:eastAsia="zh-CN"/>
        </w:rPr>
        <w:t>（5）</w:t>
      </w:r>
    </w:p>
    <w:p>
      <w:pPr>
        <w:pageBreakBefore w:val="0"/>
        <w:kinsoku/>
        <w:wordWrap/>
        <w:topLinePunct w:val="0"/>
        <w:bidi w:val="0"/>
        <w:spacing w:line="360" w:lineRule="auto"/>
        <w:textAlignment w:val="auto"/>
        <w:rPr>
          <w:rFonts w:hint="eastAsia" w:ascii="CESI宋体-GB2312" w:hAnsi="CESI宋体-GB2312" w:eastAsia="CESI宋体-GB2312" w:cs="CESI宋体-GB2312"/>
          <w:color w:val="auto"/>
          <w:sz w:val="21"/>
          <w:szCs w:val="21"/>
          <w:lang w:val="en-US" w:eastAsia="zh-CN"/>
        </w:rPr>
      </w:pPr>
      <w:r>
        <w:rPr>
          <w:rFonts w:hint="eastAsia" w:ascii="CESI宋体-GB2312" w:hAnsi="CESI宋体-GB2312" w:eastAsia="CESI宋体-GB2312" w:cs="CESI宋体-GB2312"/>
          <w:color w:val="auto"/>
          <w:sz w:val="21"/>
          <w:szCs w:val="21"/>
          <w:lang w:val="en-US" w:eastAsia="zh-CN"/>
        </w:rPr>
        <w:t>7.5技术要求</w:t>
      </w:r>
    </w:p>
    <w:p>
      <w:pPr>
        <w:pageBreakBefore w:val="0"/>
        <w:kinsoku/>
        <w:wordWrap/>
        <w:topLinePunct w:val="0"/>
        <w:bidi w:val="0"/>
        <w:spacing w:line="360" w:lineRule="auto"/>
        <w:textAlignment w:val="auto"/>
        <w:rPr>
          <w:rFonts w:hint="eastAsia" w:ascii="CESI宋体-GB2312" w:hAnsi="CESI宋体-GB2312" w:eastAsia="CESI宋体-GB2312" w:cs="CESI宋体-GB2312"/>
          <w:color w:val="auto"/>
          <w:sz w:val="21"/>
          <w:szCs w:val="21"/>
          <w:lang w:val="en-US" w:eastAsia="zh-CN"/>
        </w:rPr>
      </w:pPr>
      <w:r>
        <w:rPr>
          <w:rFonts w:hint="eastAsia" w:ascii="CESI宋体-GB2312" w:hAnsi="CESI宋体-GB2312" w:eastAsia="CESI宋体-GB2312" w:cs="CESI宋体-GB2312"/>
          <w:color w:val="auto"/>
          <w:sz w:val="21"/>
          <w:szCs w:val="21"/>
          <w:lang w:val="en-US" w:eastAsia="zh-CN"/>
        </w:rPr>
        <w:t>7.5.1 试剂与材料</w:t>
      </w:r>
    </w:p>
    <w:p>
      <w:pPr>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7.5.1.1　标准样品</w:t>
      </w:r>
    </w:p>
    <w:p>
      <w:pPr>
        <w:pageBreakBefore w:val="0"/>
        <w:numPr>
          <w:ilvl w:val="0"/>
          <w:numId w:val="2"/>
        </w:numPr>
        <w:kinsoku/>
        <w:wordWrap/>
        <w:topLinePunct w:val="0"/>
        <w:bidi w:val="0"/>
        <w:spacing w:line="360" w:lineRule="auto"/>
        <w:ind w:left="845" w:leftChars="0" w:hanging="425"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vertAlign w:val="superscript"/>
          <w:lang w:val="en-US" w:eastAsia="zh-CN"/>
        </w:rPr>
        <w:t>14</w:t>
      </w:r>
      <w:r>
        <w:rPr>
          <w:rFonts w:hint="eastAsia" w:ascii="CESI宋体-GB2312" w:hAnsi="CESI宋体-GB2312" w:eastAsia="CESI宋体-GB2312" w:cs="CESI宋体-GB2312"/>
          <w:sz w:val="21"/>
          <w:szCs w:val="21"/>
          <w:lang w:val="en-US" w:eastAsia="zh-CN"/>
        </w:rPr>
        <w:t>C 主标样，一般为国际草酸OX-II，用于加速器质谱法（AMS）测量比对基准及检测测量精度；</w:t>
      </w:r>
    </w:p>
    <w:p>
      <w:pPr>
        <w:pageBreakBefore w:val="0"/>
        <w:numPr>
          <w:ilvl w:val="0"/>
          <w:numId w:val="2"/>
        </w:numPr>
        <w:kinsoku/>
        <w:wordWrap/>
        <w:topLinePunct w:val="0"/>
        <w:bidi w:val="0"/>
        <w:spacing w:line="360" w:lineRule="auto"/>
        <w:ind w:left="845" w:leftChars="0" w:hanging="425"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vertAlign w:val="superscript"/>
          <w:lang w:val="en-US" w:eastAsia="zh-CN"/>
        </w:rPr>
        <w:t>14</w:t>
      </w:r>
      <w:r>
        <w:rPr>
          <w:rFonts w:hint="eastAsia" w:ascii="CESI宋体-GB2312" w:hAnsi="CESI宋体-GB2312" w:eastAsia="CESI宋体-GB2312" w:cs="CESI宋体-GB2312"/>
          <w:sz w:val="21"/>
          <w:szCs w:val="21"/>
          <w:lang w:val="en-US" w:eastAsia="zh-CN"/>
        </w:rPr>
        <w:t>C 次级标样，选择中国糖碳（CSC），用于检测AMS测量样品的准确性；</w:t>
      </w:r>
    </w:p>
    <w:p>
      <w:pPr>
        <w:pageBreakBefore w:val="0"/>
        <w:numPr>
          <w:ilvl w:val="0"/>
          <w:numId w:val="2"/>
        </w:numPr>
        <w:kinsoku/>
        <w:wordWrap/>
        <w:topLinePunct w:val="0"/>
        <w:bidi w:val="0"/>
        <w:spacing w:line="360" w:lineRule="auto"/>
        <w:ind w:left="845" w:leftChars="0" w:hanging="425"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vertAlign w:val="superscript"/>
          <w:lang w:val="en-US" w:eastAsia="zh-CN"/>
        </w:rPr>
        <w:t>1</w:t>
      </w:r>
      <w:r>
        <w:rPr>
          <w:rFonts w:hint="eastAsia" w:ascii="CESI宋体-GB2312" w:hAnsi="CESI宋体-GB2312" w:eastAsia="CESI宋体-GB2312" w:cs="CESI宋体-GB2312"/>
          <w:sz w:val="21"/>
          <w:szCs w:val="21"/>
          <w:lang w:val="en-US" w:eastAsia="zh-CN"/>
        </w:rPr>
        <w:t>4C 监控本底；可选择无烟煤，用于扣除制样和AMS测量过程的本底。</w:t>
      </w:r>
    </w:p>
    <w:p>
      <w:pPr>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7.5.1.2　反应试剂</w:t>
      </w:r>
    </w:p>
    <w:p>
      <w:pPr>
        <w:pStyle w:val="39"/>
        <w:rPr>
          <w:rFonts w:hint="eastAsia"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color w:val="auto"/>
          <w:sz w:val="21"/>
          <w:szCs w:val="21"/>
          <w:lang w:val="en-US" w:eastAsia="zh-CN"/>
        </w:rPr>
        <w:t>反</w:t>
      </w:r>
      <w:r>
        <w:rPr>
          <w:rFonts w:hint="eastAsia" w:ascii="CESI宋体-GB2312" w:hAnsi="CESI宋体-GB2312" w:eastAsia="CESI宋体-GB2312" w:cs="CESI宋体-GB2312"/>
          <w:kern w:val="2"/>
          <w:sz w:val="21"/>
          <w:szCs w:val="21"/>
          <w:lang w:val="en-US" w:eastAsia="zh-CN" w:bidi="ar-SA"/>
        </w:rPr>
        <w:t>应试剂应符合以下要求：</w:t>
      </w:r>
    </w:p>
    <w:p>
      <w:pPr>
        <w:pStyle w:val="54"/>
        <w:keepNext w:val="0"/>
        <w:keepLines w:val="0"/>
        <w:pageBreakBefore w:val="0"/>
        <w:widowControl/>
        <w:numPr>
          <w:ilvl w:val="0"/>
          <w:numId w:val="3"/>
        </w:numPr>
        <w:kinsoku/>
        <w:wordWrap/>
        <w:overflowPunct/>
        <w:topLinePunct w:val="0"/>
        <w:autoSpaceDE/>
        <w:autoSpaceDN/>
        <w:bidi w:val="0"/>
        <w:adjustRightInd/>
        <w:snapToGrid/>
        <w:spacing w:before="0" w:beforeLines="0" w:after="0" w:afterLines="0"/>
        <w:ind w:leftChars="200"/>
        <w:textAlignment w:val="auto"/>
        <w:rPr>
          <w:rFonts w:hint="eastAsia" w:ascii="CESI宋体-GB2312" w:hAnsi="CESI宋体-GB2312" w:eastAsia="CESI宋体-GB2312" w:cs="CESI宋体-GB2312"/>
          <w:kern w:val="2"/>
          <w:sz w:val="21"/>
          <w:szCs w:val="21"/>
          <w:lang w:val="en-US" w:eastAsia="zh-Hans" w:bidi="ar-SA"/>
        </w:rPr>
      </w:pPr>
      <w:r>
        <w:rPr>
          <w:rFonts w:hint="eastAsia" w:ascii="CESI宋体-GB2312" w:hAnsi="CESI宋体-GB2312" w:eastAsia="CESI宋体-GB2312" w:cs="CESI宋体-GB2312"/>
          <w:kern w:val="2"/>
          <w:sz w:val="21"/>
          <w:szCs w:val="21"/>
          <w:lang w:val="en-US" w:eastAsia="zh-Hans" w:bidi="ar-SA"/>
        </w:rPr>
        <w:t>催化剂</w:t>
      </w:r>
      <w:r>
        <w:rPr>
          <w:rFonts w:hint="eastAsia" w:ascii="CESI宋体-GB2312" w:hAnsi="CESI宋体-GB2312" w:eastAsia="CESI宋体-GB2312" w:cs="CESI宋体-GB2312"/>
          <w:kern w:val="2"/>
          <w:sz w:val="21"/>
          <w:szCs w:val="21"/>
          <w:lang w:val="en-US" w:eastAsia="zh-CN" w:bidi="ar-SA"/>
        </w:rPr>
        <w:t>：</w:t>
      </w:r>
      <w:r>
        <w:rPr>
          <w:rFonts w:hint="eastAsia" w:ascii="CESI宋体-GB2312" w:hAnsi="CESI宋体-GB2312" w:eastAsia="CESI宋体-GB2312" w:cs="CESI宋体-GB2312"/>
          <w:kern w:val="2"/>
          <w:sz w:val="21"/>
          <w:szCs w:val="21"/>
          <w:lang w:val="en-US" w:eastAsia="zh-Hans" w:bidi="ar-SA"/>
        </w:rPr>
        <w:t>铁粉</w:t>
      </w:r>
      <w:r>
        <w:rPr>
          <w:rFonts w:hint="eastAsia" w:ascii="CESI宋体-GB2312" w:hAnsi="CESI宋体-GB2312" w:eastAsia="CESI宋体-GB2312" w:cs="CESI宋体-GB2312"/>
          <w:kern w:val="2"/>
          <w:sz w:val="21"/>
          <w:szCs w:val="21"/>
          <w:lang w:val="en-US" w:eastAsia="zh-CN" w:bidi="ar-SA"/>
        </w:rPr>
        <w:t xml:space="preserve">，纯度 ≥ </w:t>
      </w:r>
      <w:r>
        <w:rPr>
          <w:rFonts w:hint="eastAsia" w:ascii="CESI宋体-GB2312" w:hAnsi="CESI宋体-GB2312" w:eastAsia="CESI宋体-GB2312" w:cs="CESI宋体-GB2312"/>
          <w:kern w:val="2"/>
          <w:sz w:val="21"/>
          <w:szCs w:val="21"/>
          <w:lang w:val="en-US" w:eastAsia="zh-Hans" w:bidi="ar-SA"/>
        </w:rPr>
        <w:t>99.999%；</w:t>
      </w:r>
    </w:p>
    <w:p>
      <w:pPr>
        <w:pStyle w:val="39"/>
        <w:numPr>
          <w:ilvl w:val="0"/>
          <w:numId w:val="3"/>
        </w:numPr>
        <w:rPr>
          <w:rFonts w:hint="eastAsia" w:ascii="CESI宋体-GB2312" w:hAnsi="CESI宋体-GB2312" w:eastAsia="CESI宋体-GB2312" w:cs="CESI宋体-GB2312"/>
          <w:kern w:val="2"/>
          <w:sz w:val="21"/>
          <w:szCs w:val="21"/>
          <w:lang w:val="en-US" w:eastAsia="zh-Hans" w:bidi="ar-SA"/>
        </w:rPr>
      </w:pPr>
      <w:r>
        <w:rPr>
          <w:rFonts w:hint="eastAsia" w:ascii="CESI宋体-GB2312" w:hAnsi="CESI宋体-GB2312" w:eastAsia="CESI宋体-GB2312" w:cs="CESI宋体-GB2312"/>
          <w:kern w:val="2"/>
          <w:sz w:val="21"/>
          <w:szCs w:val="21"/>
          <w:lang w:val="en-US" w:eastAsia="zh-Hans" w:bidi="ar-SA"/>
        </w:rPr>
        <w:t>还原剂</w:t>
      </w:r>
      <w:r>
        <w:rPr>
          <w:rFonts w:hint="eastAsia" w:ascii="CESI宋体-GB2312" w:hAnsi="CESI宋体-GB2312" w:eastAsia="CESI宋体-GB2312" w:cs="CESI宋体-GB2312"/>
          <w:kern w:val="2"/>
          <w:sz w:val="21"/>
          <w:szCs w:val="21"/>
          <w:lang w:val="en-US" w:eastAsia="zh-CN" w:bidi="ar-SA"/>
        </w:rPr>
        <w:t>：</w:t>
      </w:r>
      <w:r>
        <w:rPr>
          <w:rFonts w:hint="eastAsia" w:ascii="CESI宋体-GB2312" w:hAnsi="CESI宋体-GB2312" w:eastAsia="CESI宋体-GB2312" w:cs="CESI宋体-GB2312"/>
          <w:kern w:val="2"/>
          <w:sz w:val="21"/>
          <w:szCs w:val="21"/>
          <w:lang w:val="en-US" w:eastAsia="zh-Hans" w:bidi="ar-SA"/>
        </w:rPr>
        <w:t>锌粒</w:t>
      </w:r>
      <w:r>
        <w:rPr>
          <w:rFonts w:hint="eastAsia" w:ascii="CESI宋体-GB2312" w:hAnsi="CESI宋体-GB2312" w:eastAsia="CESI宋体-GB2312" w:cs="CESI宋体-GB2312"/>
          <w:kern w:val="2"/>
          <w:sz w:val="21"/>
          <w:szCs w:val="21"/>
          <w:lang w:val="en-US" w:eastAsia="zh-CN" w:bidi="ar-SA"/>
        </w:rPr>
        <w:t xml:space="preserve">，纯度 ≥ </w:t>
      </w:r>
      <w:r>
        <w:rPr>
          <w:rFonts w:hint="eastAsia" w:ascii="CESI宋体-GB2312" w:hAnsi="CESI宋体-GB2312" w:eastAsia="CESI宋体-GB2312" w:cs="CESI宋体-GB2312"/>
          <w:kern w:val="2"/>
          <w:sz w:val="21"/>
          <w:szCs w:val="21"/>
          <w:lang w:val="en-US" w:eastAsia="zh-Hans" w:bidi="ar-SA"/>
        </w:rPr>
        <w:t>99.999%</w:t>
      </w:r>
    </w:p>
    <w:p>
      <w:pPr>
        <w:pStyle w:val="39"/>
        <w:numPr>
          <w:ilvl w:val="0"/>
          <w:numId w:val="0"/>
        </w:numPr>
        <w:ind w:firstLine="1470" w:firstLineChars="700"/>
        <w:rPr>
          <w:rFonts w:hint="eastAsia" w:ascii="CESI宋体-GB2312" w:hAnsi="CESI宋体-GB2312" w:eastAsia="CESI宋体-GB2312" w:cs="CESI宋体-GB2312"/>
          <w:kern w:val="2"/>
          <w:sz w:val="21"/>
          <w:szCs w:val="21"/>
          <w:lang w:val="en-US" w:eastAsia="zh-Hans" w:bidi="ar-SA"/>
        </w:rPr>
      </w:pPr>
      <w:r>
        <w:rPr>
          <w:rFonts w:hint="eastAsia" w:ascii="CESI宋体-GB2312" w:hAnsi="CESI宋体-GB2312" w:eastAsia="CESI宋体-GB2312" w:cs="CESI宋体-GB2312"/>
          <w:kern w:val="2"/>
          <w:sz w:val="21"/>
          <w:szCs w:val="21"/>
          <w:lang w:val="en-US" w:eastAsia="zh-CN" w:bidi="ar-SA"/>
        </w:rPr>
        <w:t>氢气，纯度 ≥ 99.999%。</w:t>
      </w:r>
    </w:p>
    <w:p>
      <w:pPr>
        <w:pageBreakBefore w:val="0"/>
        <w:kinsoku/>
        <w:wordWrap/>
        <w:topLinePunct w:val="0"/>
        <w:bidi w:val="0"/>
        <w:spacing w:line="360" w:lineRule="auto"/>
        <w:textAlignment w:val="auto"/>
        <w:rPr>
          <w:rFonts w:hint="eastAsia"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kern w:val="2"/>
          <w:sz w:val="21"/>
          <w:szCs w:val="21"/>
          <w:lang w:val="en-US" w:eastAsia="zh-CN" w:bidi="ar-SA"/>
        </w:rPr>
        <w:t>7.5.1.3　冷阱材料   包括液氮和乙醇。</w:t>
      </w:r>
    </w:p>
    <w:p>
      <w:pPr>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7.5.1.4　辅助耗材</w:t>
      </w:r>
    </w:p>
    <w:p>
      <w:pPr>
        <w:pageBreakBefore w:val="0"/>
        <w:numPr>
          <w:ilvl w:val="0"/>
          <w:numId w:val="0"/>
        </w:numPr>
        <w:kinsoku/>
        <w:wordWrap/>
        <w:topLinePunct w:val="0"/>
        <w:bidi w:val="0"/>
        <w:spacing w:line="360" w:lineRule="auto"/>
        <w:ind w:left="845" w:leftChars="0" w:hanging="425"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kern w:val="2"/>
          <w:sz w:val="21"/>
          <w:szCs w:val="21"/>
          <w:lang w:val="en-US" w:eastAsia="zh-CN" w:bidi="ar-SA"/>
        </w:rPr>
        <w:t>1.</w:t>
      </w:r>
      <w:r>
        <w:rPr>
          <w:rFonts w:hint="eastAsia" w:ascii="CESI宋体-GB2312" w:hAnsi="CESI宋体-GB2312" w:eastAsia="CESI宋体-GB2312" w:cs="CESI宋体-GB2312"/>
          <w:sz w:val="21"/>
          <w:szCs w:val="21"/>
          <w:lang w:val="en-US" w:eastAsia="zh-CN"/>
        </w:rPr>
        <w:t>CO2收集管：应选择阀门密闭性强高硼硅带阀门玻璃管进行制作；</w:t>
      </w:r>
    </w:p>
    <w:p>
      <w:pPr>
        <w:pageBreakBefore w:val="0"/>
        <w:numPr>
          <w:ilvl w:val="0"/>
          <w:numId w:val="0"/>
        </w:numPr>
        <w:kinsoku/>
        <w:wordWrap/>
        <w:topLinePunct w:val="0"/>
        <w:bidi w:val="0"/>
        <w:spacing w:line="360" w:lineRule="auto"/>
        <w:ind w:left="845" w:leftChars="0" w:hanging="425" w:firstLineChars="0"/>
        <w:textAlignment w:val="auto"/>
        <w:rPr>
          <w:rFonts w:hint="eastAsia" w:ascii="CESI宋体-GB2312" w:hAnsi="CESI宋体-GB2312" w:eastAsia="CESI宋体-GB2312" w:cs="CESI宋体-GB2312"/>
          <w:kern w:val="2"/>
          <w:sz w:val="21"/>
          <w:szCs w:val="21"/>
          <w:lang w:val="en-US" w:eastAsia="zh-CN" w:bidi="ar-SA"/>
        </w:rPr>
      </w:pPr>
      <w:r>
        <w:rPr>
          <w:rFonts w:hint="eastAsia" w:ascii="CESI宋体-GB2312" w:hAnsi="CESI宋体-GB2312" w:eastAsia="CESI宋体-GB2312" w:cs="CESI宋体-GB2312"/>
          <w:kern w:val="2"/>
          <w:sz w:val="21"/>
          <w:szCs w:val="21"/>
          <w:lang w:val="en-US" w:eastAsia="zh-CN" w:bidi="ar-SA"/>
        </w:rPr>
        <w:t>2.</w:t>
      </w:r>
      <w:r>
        <w:rPr>
          <w:rFonts w:hint="eastAsia" w:ascii="CESI宋体-GB2312" w:hAnsi="CESI宋体-GB2312" w:eastAsia="CESI宋体-GB2312" w:cs="CESI宋体-GB2312"/>
          <w:sz w:val="21"/>
          <w:szCs w:val="21"/>
          <w:lang w:val="en-US" w:eastAsia="zh-CN"/>
        </w:rPr>
        <w:t>石墨合成管：应选择熔点大于1100℃的石英玻璃管进行制作；</w:t>
      </w:r>
    </w:p>
    <w:p>
      <w:pPr>
        <w:pageBreakBefore w:val="0"/>
        <w:numPr>
          <w:ilvl w:val="0"/>
          <w:numId w:val="0"/>
        </w:numPr>
        <w:kinsoku/>
        <w:wordWrap/>
        <w:topLinePunct w:val="0"/>
        <w:bidi w:val="0"/>
        <w:spacing w:line="360" w:lineRule="auto"/>
        <w:ind w:left="845" w:leftChars="0" w:hanging="425"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kern w:val="2"/>
          <w:sz w:val="21"/>
          <w:szCs w:val="21"/>
          <w:lang w:val="en-US" w:eastAsia="zh-CN" w:bidi="ar-SA"/>
        </w:rPr>
        <w:t>3.</w:t>
      </w:r>
      <w:r>
        <w:rPr>
          <w:rFonts w:hint="eastAsia" w:ascii="CESI宋体-GB2312" w:hAnsi="CESI宋体-GB2312" w:eastAsia="CESI宋体-GB2312" w:cs="CESI宋体-GB2312"/>
          <w:sz w:val="21"/>
          <w:szCs w:val="21"/>
          <w:lang w:val="en-US" w:eastAsia="zh-CN"/>
        </w:rPr>
        <w:t>标准样品反应管：应选择熔点大于1100℃的石英玻璃管进行制作；</w:t>
      </w:r>
    </w:p>
    <w:p>
      <w:pPr>
        <w:pageBreakBefore w:val="0"/>
        <w:numPr>
          <w:ilvl w:val="0"/>
          <w:numId w:val="0"/>
        </w:numPr>
        <w:kinsoku/>
        <w:wordWrap/>
        <w:topLinePunct w:val="0"/>
        <w:bidi w:val="0"/>
        <w:spacing w:line="360" w:lineRule="auto"/>
        <w:ind w:left="845" w:leftChars="0" w:hanging="425"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4.助燃气体：应选择纯度≥99.99%的氧气，通入标准样品密封反应管。</w:t>
      </w:r>
    </w:p>
    <w:p>
      <w:pPr>
        <w:pageBreakBefore w:val="0"/>
        <w:kinsoku/>
        <w:wordWrap/>
        <w:topLinePunct w:val="0"/>
        <w:bidi w:val="0"/>
        <w:spacing w:line="360" w:lineRule="auto"/>
        <w:textAlignment w:val="auto"/>
        <w:rPr>
          <w:rFonts w:hint="eastAsia" w:ascii="CESI宋体-GB2312" w:hAnsi="CESI宋体-GB2312" w:eastAsia="CESI宋体-GB2312" w:cs="CESI宋体-GB2312"/>
          <w:color w:val="auto"/>
          <w:sz w:val="21"/>
          <w:szCs w:val="21"/>
          <w:lang w:val="en-US" w:eastAsia="zh-CN"/>
        </w:rPr>
      </w:pPr>
      <w:bookmarkStart w:id="31" w:name="_Toc23541"/>
      <w:r>
        <w:rPr>
          <w:rFonts w:hint="eastAsia" w:ascii="CESI宋体-GB2312" w:hAnsi="CESI宋体-GB2312" w:eastAsia="CESI宋体-GB2312" w:cs="CESI宋体-GB2312"/>
          <w:color w:val="auto"/>
          <w:sz w:val="21"/>
          <w:szCs w:val="21"/>
          <w:lang w:val="en-US" w:eastAsia="zh-CN"/>
        </w:rPr>
        <w:t>7.5.2 仪器与设备</w:t>
      </w:r>
      <w:bookmarkEnd w:id="31"/>
    </w:p>
    <w:p>
      <w:pPr>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 xml:space="preserve">7.5.2.1 </w:t>
      </w:r>
      <w:bookmarkStart w:id="32" w:name="_Toc17032"/>
      <w:bookmarkStart w:id="33" w:name="_Toc128676471"/>
      <w:bookmarkStart w:id="34" w:name="_Toc14146"/>
      <w:r>
        <w:rPr>
          <w:rFonts w:hint="eastAsia" w:ascii="CESI宋体-GB2312" w:hAnsi="CESI宋体-GB2312" w:eastAsia="CESI宋体-GB2312" w:cs="CESI宋体-GB2312"/>
          <w:sz w:val="21"/>
          <w:szCs w:val="21"/>
          <w:lang w:val="en-US" w:eastAsia="zh-CN"/>
        </w:rPr>
        <w:t>采样系统</w:t>
      </w:r>
      <w:bookmarkEnd w:id="32"/>
      <w:bookmarkEnd w:id="33"/>
      <w:bookmarkEnd w:id="34"/>
    </w:p>
    <w:p>
      <w:pPr>
        <w:pStyle w:val="39"/>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rPr>
        <w:t>技术规范对</w:t>
      </w:r>
      <w:r>
        <w:rPr>
          <w:rFonts w:hint="eastAsia" w:ascii="CESI宋体-GB2312" w:hAnsi="CESI宋体-GB2312" w:eastAsia="CESI宋体-GB2312" w:cs="CESI宋体-GB2312"/>
          <w:sz w:val="21"/>
          <w:szCs w:val="21"/>
          <w:vertAlign w:val="superscript"/>
        </w:rPr>
        <w:t>14</w:t>
      </w:r>
      <w:r>
        <w:rPr>
          <w:rFonts w:hint="eastAsia" w:ascii="CESI宋体-GB2312" w:hAnsi="CESI宋体-GB2312" w:eastAsia="CESI宋体-GB2312" w:cs="CESI宋体-GB2312"/>
          <w:sz w:val="21"/>
          <w:szCs w:val="21"/>
        </w:rPr>
        <w:t>C</w:t>
      </w:r>
      <w:r>
        <w:rPr>
          <w:rFonts w:hint="eastAsia" w:ascii="CESI宋体-GB2312" w:hAnsi="CESI宋体-GB2312" w:eastAsia="CESI宋体-GB2312" w:cs="CESI宋体-GB2312"/>
          <w:sz w:val="21"/>
          <w:szCs w:val="21"/>
          <w:lang w:val="en-US" w:eastAsia="zh-CN"/>
        </w:rPr>
        <w:t>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rPr>
        <w:t>手工监测</w:t>
      </w:r>
      <w:r>
        <w:rPr>
          <w:rFonts w:hint="eastAsia" w:ascii="CESI宋体-GB2312" w:hAnsi="CESI宋体-GB2312" w:eastAsia="CESI宋体-GB2312" w:cs="CESI宋体-GB2312"/>
          <w:sz w:val="21"/>
          <w:szCs w:val="21"/>
          <w:lang w:val="en-US" w:eastAsia="zh-CN"/>
        </w:rPr>
        <w:t>采样系统进行了规范，</w:t>
      </w:r>
    </w:p>
    <w:p>
      <w:pPr>
        <w:pStyle w:val="39"/>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eastAsia="zh-CN"/>
        </w:rPr>
      </w:pPr>
      <w:r>
        <w:rPr>
          <w:rFonts w:hint="eastAsia" w:ascii="CESI宋体-GB2312" w:hAnsi="CESI宋体-GB2312" w:eastAsia="CESI宋体-GB2312" w:cs="CESI宋体-GB2312"/>
          <w:sz w:val="21"/>
          <w:szCs w:val="21"/>
          <w:lang w:val="en-US" w:eastAsia="zh-CN"/>
        </w:rPr>
        <w:t>高塔采样系统</w:t>
      </w:r>
      <w:r>
        <w:rPr>
          <w:rFonts w:hint="eastAsia" w:ascii="CESI宋体-GB2312" w:hAnsi="CESI宋体-GB2312" w:eastAsia="CESI宋体-GB2312" w:cs="CESI宋体-GB2312"/>
          <w:sz w:val="21"/>
          <w:szCs w:val="21"/>
          <w:lang w:eastAsia="zh-CN"/>
        </w:rPr>
        <w:t>：</w:t>
      </w:r>
    </w:p>
    <w:p>
      <w:pPr>
        <w:pStyle w:val="39"/>
        <w:pageBreakBefore w:val="0"/>
        <w:kinsoku/>
        <w:wordWrap/>
        <w:topLinePunct w:val="0"/>
        <w:bidi w:val="0"/>
        <w:spacing w:line="360" w:lineRule="auto"/>
        <w:textAlignment w:val="auto"/>
        <w:rPr>
          <w:rFonts w:hint="eastAsia" w:ascii="CESI宋体-GB2312" w:hAnsi="CESI宋体-GB2312" w:eastAsia="CESI宋体-GB2312" w:cs="CESI宋体-GB2312"/>
          <w:sz w:val="21"/>
          <w:szCs w:val="21"/>
          <w:highlight w:val="none"/>
          <w:lang w:val="en-US" w:eastAsia="zh-CN"/>
        </w:rPr>
      </w:pPr>
      <w:r>
        <w:rPr>
          <w:rFonts w:hint="eastAsia" w:ascii="CESI宋体-GB2312" w:hAnsi="CESI宋体-GB2312" w:eastAsia="CESI宋体-GB2312" w:cs="CESI宋体-GB2312"/>
          <w:sz w:val="21"/>
          <w:szCs w:val="21"/>
          <w:lang w:val="en-US" w:eastAsia="zh-CN"/>
        </w:rPr>
        <w:t>高塔采样</w:t>
      </w:r>
      <w:r>
        <w:rPr>
          <w:rFonts w:hint="eastAsia" w:ascii="CESI宋体-GB2312" w:hAnsi="CESI宋体-GB2312" w:eastAsia="CESI宋体-GB2312" w:cs="CESI宋体-GB2312"/>
          <w:sz w:val="21"/>
          <w:szCs w:val="21"/>
        </w:rPr>
        <w:t>系统</w:t>
      </w:r>
      <w:r>
        <w:rPr>
          <w:rFonts w:hint="eastAsia" w:ascii="CESI宋体-GB2312" w:hAnsi="CESI宋体-GB2312" w:eastAsia="CESI宋体-GB2312" w:cs="CESI宋体-GB2312"/>
          <w:sz w:val="21"/>
          <w:szCs w:val="21"/>
          <w:lang w:val="en-US" w:eastAsia="zh-CN"/>
        </w:rPr>
        <w:t>应包括</w:t>
      </w:r>
      <w:r>
        <w:rPr>
          <w:rFonts w:hint="eastAsia" w:ascii="CESI宋体-GB2312" w:hAnsi="CESI宋体-GB2312" w:eastAsia="CESI宋体-GB2312" w:cs="CESI宋体-GB2312"/>
          <w:sz w:val="21"/>
          <w:szCs w:val="21"/>
        </w:rPr>
        <w:t>除水装置、采样泵、压力表、采样容器、供电设备（包括蓄电池、外接电源）以及安全装置（如安全阀）和流量控制装置（如转子流量计）等</w:t>
      </w:r>
      <w:r>
        <w:rPr>
          <w:rFonts w:hint="eastAsia" w:ascii="CESI宋体-GB2312" w:hAnsi="CESI宋体-GB2312" w:eastAsia="CESI宋体-GB2312" w:cs="CESI宋体-GB2312"/>
          <w:sz w:val="21"/>
          <w:szCs w:val="21"/>
          <w:lang w:val="en-US" w:eastAsia="zh-CN"/>
        </w:rPr>
        <w:t>采样设备，同时要建设地面高塔采样必须的高塔及相关设施。采样高塔为满足获得</w:t>
      </w:r>
      <w:r>
        <w:rPr>
          <w:rFonts w:hint="eastAsia" w:ascii="CESI宋体-GB2312" w:hAnsi="CESI宋体-GB2312" w:eastAsia="CESI宋体-GB2312" w:cs="CESI宋体-GB2312"/>
          <w:color w:val="333333"/>
          <w:sz w:val="21"/>
          <w:szCs w:val="21"/>
          <w:shd w:val="clear" w:color="auto" w:fill="FFFFFF"/>
        </w:rPr>
        <w:t>高空均匀混合</w:t>
      </w:r>
      <w:r>
        <w:rPr>
          <w:rFonts w:hint="eastAsia" w:ascii="CESI宋体-GB2312" w:hAnsi="CESI宋体-GB2312" w:eastAsia="CESI宋体-GB2312" w:cs="CESI宋体-GB2312"/>
          <w:color w:val="333333"/>
          <w:sz w:val="21"/>
          <w:szCs w:val="21"/>
          <w:shd w:val="clear" w:color="auto" w:fill="FFFFFF"/>
          <w:lang w:val="en-US" w:eastAsia="zh-CN"/>
        </w:rPr>
        <w:t>温室气体样品而</w:t>
      </w:r>
      <w:r>
        <w:rPr>
          <w:rFonts w:hint="eastAsia" w:ascii="CESI宋体-GB2312" w:hAnsi="CESI宋体-GB2312" w:eastAsia="CESI宋体-GB2312" w:cs="CESI宋体-GB2312"/>
          <w:color w:val="333333"/>
          <w:sz w:val="21"/>
          <w:szCs w:val="21"/>
          <w:shd w:val="clear" w:color="auto" w:fill="FFFFFF"/>
        </w:rPr>
        <w:t>架设的设施，以减少局地温室气体源汇对监测的影响，主要用于室外监测设备安装、采样管线架设等。</w:t>
      </w:r>
      <w:r>
        <w:rPr>
          <w:rFonts w:hint="eastAsia" w:ascii="CESI宋体-GB2312" w:hAnsi="CESI宋体-GB2312" w:eastAsia="CESI宋体-GB2312" w:cs="CESI宋体-GB2312"/>
          <w:sz w:val="21"/>
          <w:szCs w:val="21"/>
        </w:rPr>
        <w:t>采样塔采样口距塔基的相对高度在50</w:t>
      </w:r>
      <w:r>
        <w:rPr>
          <w:rFonts w:hint="eastAsia" w:ascii="CESI宋体-GB2312" w:hAnsi="CESI宋体-GB2312" w:eastAsia="CESI宋体-GB2312" w:cs="CESI宋体-GB2312"/>
          <w:sz w:val="21"/>
          <w:szCs w:val="21"/>
          <w:lang w:val="en-US" w:eastAsia="zh-CN"/>
        </w:rPr>
        <w:t xml:space="preserve"> </w:t>
      </w:r>
      <w:r>
        <w:rPr>
          <w:rFonts w:hint="eastAsia" w:ascii="CESI宋体-GB2312" w:hAnsi="CESI宋体-GB2312" w:eastAsia="CESI宋体-GB2312" w:cs="CESI宋体-GB2312"/>
          <w:sz w:val="21"/>
          <w:szCs w:val="21"/>
        </w:rPr>
        <w:t>m以上</w:t>
      </w:r>
      <w:r>
        <w:rPr>
          <w:rFonts w:hint="eastAsia" w:ascii="CESI宋体-GB2312" w:hAnsi="CESI宋体-GB2312" w:eastAsia="CESI宋体-GB2312" w:cs="CESI宋体-GB2312"/>
          <w:sz w:val="21"/>
          <w:szCs w:val="21"/>
          <w:lang w:eastAsia="zh-CN"/>
        </w:rPr>
        <w:t>，</w:t>
      </w:r>
      <w:r>
        <w:rPr>
          <w:rFonts w:hint="eastAsia" w:ascii="CESI宋体-GB2312" w:hAnsi="CESI宋体-GB2312" w:eastAsia="CESI宋体-GB2312" w:cs="CESI宋体-GB2312"/>
          <w:sz w:val="21"/>
          <w:szCs w:val="21"/>
        </w:rPr>
        <w:t>采样口周围水平面保证</w:t>
      </w:r>
      <w:r>
        <w:rPr>
          <w:rFonts w:hint="eastAsia" w:ascii="CESI宋体-GB2312" w:hAnsi="CESI宋体-GB2312" w:eastAsia="CESI宋体-GB2312" w:cs="CESI宋体-GB2312"/>
          <w:color w:val="auto"/>
          <w:sz w:val="21"/>
          <w:szCs w:val="21"/>
          <w:highlight w:val="none"/>
        </w:rPr>
        <w:t>360°</w:t>
      </w:r>
      <w:r>
        <w:rPr>
          <w:rFonts w:hint="eastAsia" w:ascii="CESI宋体-GB2312" w:hAnsi="CESI宋体-GB2312" w:eastAsia="CESI宋体-GB2312" w:cs="CESI宋体-GB2312"/>
          <w:sz w:val="21"/>
          <w:szCs w:val="21"/>
        </w:rPr>
        <w:t>的捕集空间</w:t>
      </w:r>
      <w:r>
        <w:rPr>
          <w:rFonts w:hint="eastAsia" w:ascii="CESI宋体-GB2312" w:hAnsi="CESI宋体-GB2312" w:eastAsia="CESI宋体-GB2312" w:cs="CESI宋体-GB2312"/>
          <w:sz w:val="21"/>
          <w:szCs w:val="21"/>
          <w:lang w:eastAsia="zh-CN"/>
        </w:rPr>
        <w:t>。</w:t>
      </w:r>
      <w:r>
        <w:rPr>
          <w:rFonts w:hint="eastAsia" w:ascii="CESI宋体-GB2312" w:hAnsi="CESI宋体-GB2312" w:eastAsia="CESI宋体-GB2312" w:cs="CESI宋体-GB2312"/>
          <w:sz w:val="21"/>
          <w:szCs w:val="21"/>
          <w:lang w:val="en-US" w:eastAsia="zh-CN"/>
        </w:rPr>
        <w:t>地面采样系统可</w:t>
      </w:r>
      <w:r>
        <w:rPr>
          <w:rFonts w:hint="eastAsia" w:ascii="CESI宋体-GB2312" w:hAnsi="CESI宋体-GB2312" w:eastAsia="CESI宋体-GB2312" w:cs="CESI宋体-GB2312"/>
          <w:sz w:val="21"/>
          <w:szCs w:val="21"/>
        </w:rPr>
        <w:t>购置商品化设备，也可自组装。</w:t>
      </w:r>
      <w:r>
        <w:rPr>
          <w:rFonts w:hint="eastAsia" w:ascii="CESI宋体-GB2312" w:hAnsi="CESI宋体-GB2312" w:eastAsia="CESI宋体-GB2312" w:cs="CESI宋体-GB2312"/>
          <w:sz w:val="21"/>
          <w:szCs w:val="21"/>
          <w:lang w:val="en-US" w:eastAsia="zh-CN"/>
        </w:rPr>
        <w:t>地面采样高塔建设</w:t>
      </w:r>
      <w:r>
        <w:rPr>
          <w:rFonts w:hint="eastAsia" w:ascii="CESI宋体-GB2312" w:hAnsi="CESI宋体-GB2312" w:eastAsia="CESI宋体-GB2312" w:cs="CESI宋体-GB2312"/>
          <w:sz w:val="21"/>
          <w:szCs w:val="21"/>
          <w:highlight w:val="none"/>
          <w:lang w:val="en-US" w:eastAsia="zh-CN"/>
        </w:rPr>
        <w:t>受地理环境的影响较大，同时要考虑采样相关的电力需求和通讯要求。</w:t>
      </w:r>
    </w:p>
    <w:p>
      <w:pPr>
        <w:pStyle w:val="39"/>
        <w:pageBreakBefore w:val="0"/>
        <w:kinsoku/>
        <w:wordWrap/>
        <w:topLinePunct w:val="0"/>
        <w:bidi w:val="0"/>
        <w:spacing w:line="360" w:lineRule="auto"/>
        <w:textAlignment w:val="auto"/>
        <w:rPr>
          <w:rFonts w:hint="eastAsia" w:ascii="CESI宋体-GB2312" w:hAnsi="CESI宋体-GB2312" w:eastAsia="CESI宋体-GB2312" w:cs="CESI宋体-GB2312"/>
          <w:sz w:val="21"/>
          <w:szCs w:val="21"/>
          <w:highlight w:val="none"/>
          <w:lang w:eastAsia="zh-CN"/>
        </w:rPr>
      </w:pPr>
      <w:r>
        <w:rPr>
          <w:rFonts w:hint="eastAsia" w:ascii="CESI宋体-GB2312" w:hAnsi="CESI宋体-GB2312" w:eastAsia="CESI宋体-GB2312" w:cs="CESI宋体-GB2312"/>
          <w:kern w:val="0"/>
          <w:sz w:val="21"/>
          <w:szCs w:val="21"/>
          <w:highlight w:val="none"/>
        </w:rPr>
        <w:t>无人机采</w:t>
      </w:r>
      <w:r>
        <w:rPr>
          <w:rFonts w:hint="eastAsia" w:ascii="CESI宋体-GB2312" w:hAnsi="CESI宋体-GB2312" w:eastAsia="CESI宋体-GB2312" w:cs="CESI宋体-GB2312"/>
          <w:kern w:val="0"/>
          <w:sz w:val="21"/>
          <w:szCs w:val="21"/>
          <w:highlight w:val="none"/>
          <w:lang w:val="en-US" w:eastAsia="zh-CN"/>
        </w:rPr>
        <w:t>样</w:t>
      </w:r>
      <w:r>
        <w:rPr>
          <w:rFonts w:hint="eastAsia" w:ascii="CESI宋体-GB2312" w:hAnsi="CESI宋体-GB2312" w:eastAsia="CESI宋体-GB2312" w:cs="CESI宋体-GB2312"/>
          <w:kern w:val="0"/>
          <w:sz w:val="21"/>
          <w:szCs w:val="21"/>
          <w:highlight w:val="none"/>
        </w:rPr>
        <w:t>系统</w:t>
      </w:r>
    </w:p>
    <w:p>
      <w:pPr>
        <w:pageBreakBefore w:val="0"/>
        <w:kinsoku/>
        <w:wordWrap/>
        <w:topLinePunct w:val="0"/>
        <w:bidi w:val="0"/>
        <w:spacing w:line="360" w:lineRule="auto"/>
        <w:ind w:firstLine="420" w:firstLineChars="200"/>
        <w:jc w:val="left"/>
        <w:textAlignment w:val="auto"/>
        <w:rPr>
          <w:rFonts w:hint="eastAsia" w:ascii="CESI宋体-GB2312" w:hAnsi="CESI宋体-GB2312" w:eastAsia="CESI宋体-GB2312" w:cs="CESI宋体-GB2312"/>
          <w:kern w:val="0"/>
          <w:sz w:val="21"/>
          <w:szCs w:val="21"/>
          <w:lang w:val="en-US" w:eastAsia="zh-CN" w:bidi="ar-SA"/>
        </w:rPr>
      </w:pPr>
      <w:r>
        <w:rPr>
          <w:rFonts w:hint="eastAsia" w:ascii="CESI宋体-GB2312" w:hAnsi="CESI宋体-GB2312" w:eastAsia="CESI宋体-GB2312" w:cs="CESI宋体-GB2312"/>
          <w:sz w:val="21"/>
          <w:szCs w:val="21"/>
          <w:highlight w:val="none"/>
          <w:lang w:val="en-US" w:eastAsia="zh-CN"/>
        </w:rPr>
        <w:t>无人机</w:t>
      </w:r>
      <w:r>
        <w:rPr>
          <w:rFonts w:hint="eastAsia" w:ascii="CESI宋体-GB2312" w:hAnsi="CESI宋体-GB2312" w:eastAsia="CESI宋体-GB2312" w:cs="CESI宋体-GB2312"/>
          <w:sz w:val="21"/>
          <w:szCs w:val="21"/>
          <w:highlight w:val="none"/>
        </w:rPr>
        <w:t>系统至少包括</w:t>
      </w:r>
      <w:r>
        <w:rPr>
          <w:rFonts w:hint="eastAsia" w:ascii="CESI宋体-GB2312" w:hAnsi="CESI宋体-GB2312" w:eastAsia="CESI宋体-GB2312" w:cs="CESI宋体-GB2312"/>
          <w:sz w:val="21"/>
          <w:szCs w:val="21"/>
          <w:highlight w:val="none"/>
          <w:lang w:val="en-US" w:eastAsia="zh-CN"/>
        </w:rPr>
        <w:t>除水装置、</w:t>
      </w:r>
      <w:r>
        <w:rPr>
          <w:rFonts w:hint="eastAsia" w:ascii="CESI宋体-GB2312" w:hAnsi="CESI宋体-GB2312" w:eastAsia="CESI宋体-GB2312" w:cs="CESI宋体-GB2312"/>
          <w:sz w:val="21"/>
          <w:szCs w:val="21"/>
          <w:highlight w:val="none"/>
        </w:rPr>
        <w:t>采样泵、</w:t>
      </w:r>
      <w:r>
        <w:rPr>
          <w:rFonts w:hint="eastAsia" w:ascii="CESI宋体-GB2312" w:hAnsi="CESI宋体-GB2312" w:eastAsia="CESI宋体-GB2312" w:cs="CESI宋体-GB2312"/>
          <w:sz w:val="21"/>
          <w:szCs w:val="21"/>
          <w:highlight w:val="none"/>
          <w:lang w:val="en-US" w:eastAsia="zh-CN"/>
        </w:rPr>
        <w:t>压力表、</w:t>
      </w:r>
      <w:r>
        <w:rPr>
          <w:rFonts w:hint="eastAsia" w:ascii="CESI宋体-GB2312" w:hAnsi="CESI宋体-GB2312" w:eastAsia="CESI宋体-GB2312" w:cs="CESI宋体-GB2312"/>
          <w:sz w:val="21"/>
          <w:szCs w:val="21"/>
          <w:highlight w:val="none"/>
        </w:rPr>
        <w:t>采样容器、供电设备（包括蓄电池、外接电源）、压力表、流量控制装置（如转子流量计）、气动软管、无人机等。可购置商品化设备，也可自组装。</w:t>
      </w:r>
      <w:r>
        <w:rPr>
          <w:rFonts w:hint="eastAsia" w:ascii="CESI宋体-GB2312" w:hAnsi="CESI宋体-GB2312" w:eastAsia="CESI宋体-GB2312" w:cs="CESI宋体-GB2312"/>
          <w:sz w:val="21"/>
          <w:szCs w:val="21"/>
          <w:highlight w:val="none"/>
          <w:lang w:val="en-US" w:eastAsia="zh-CN"/>
        </w:rPr>
        <w:t>无人机采样需要购置或租用满足采样需求的无人机，同时无人机的使用应满足</w:t>
      </w:r>
      <w:r>
        <w:rPr>
          <w:rFonts w:hint="eastAsia" w:ascii="CESI宋体-GB2312" w:hAnsi="CESI宋体-GB2312" w:eastAsia="CESI宋体-GB2312" w:cs="CESI宋体-GB2312"/>
          <w:kern w:val="0"/>
          <w:sz w:val="21"/>
          <w:szCs w:val="21"/>
          <w:highlight w:val="none"/>
          <w:lang w:val="en-US" w:eastAsia="zh-CN" w:bidi="ar-SA"/>
        </w:rPr>
        <w:t xml:space="preserve"> 《</w:t>
      </w:r>
      <w:r>
        <w:rPr>
          <w:rFonts w:hint="eastAsia" w:ascii="CESI宋体-GB2312" w:hAnsi="CESI宋体-GB2312" w:eastAsia="CESI宋体-GB2312" w:cs="CESI宋体-GB2312"/>
          <w:kern w:val="0"/>
          <w:sz w:val="21"/>
          <w:szCs w:val="21"/>
          <w:lang w:val="en-US" w:eastAsia="zh-CN" w:bidi="ar-SA"/>
        </w:rPr>
        <w:t>民用无人驾驶航空器系统安全要求》（GB42590 ）相关规定。无人机采样不受地理环境的限制，温室气体采样的代表性更强。</w:t>
      </w:r>
    </w:p>
    <w:p>
      <w:pPr>
        <w:pageBreakBefore w:val="0"/>
        <w:kinsoku/>
        <w:wordWrap/>
        <w:topLinePunct w:val="0"/>
        <w:bidi w:val="0"/>
        <w:spacing w:line="360" w:lineRule="auto"/>
        <w:ind w:firstLine="420" w:firstLineChars="200"/>
        <w:jc w:val="left"/>
        <w:textAlignment w:val="auto"/>
        <w:rPr>
          <w:rFonts w:hint="eastAsia" w:ascii="CESI宋体-GB2312" w:hAnsi="CESI宋体-GB2312" w:eastAsia="CESI宋体-GB2312" w:cs="CESI宋体-GB2312"/>
          <w:color w:val="auto"/>
          <w:kern w:val="0"/>
          <w:sz w:val="21"/>
          <w:szCs w:val="21"/>
          <w:lang w:val="en-US" w:eastAsia="zh-CN" w:bidi="ar-SA"/>
        </w:rPr>
      </w:pPr>
      <w:r>
        <w:rPr>
          <w:rFonts w:hint="eastAsia" w:ascii="CESI宋体-GB2312" w:hAnsi="CESI宋体-GB2312" w:eastAsia="CESI宋体-GB2312" w:cs="CESI宋体-GB2312"/>
          <w:color w:val="auto"/>
          <w:kern w:val="0"/>
          <w:sz w:val="21"/>
          <w:szCs w:val="21"/>
          <w:lang w:val="en-US" w:eastAsia="zh-CN" w:bidi="ar-SA"/>
        </w:rPr>
        <w:t>无人机采样工作过程</w:t>
      </w:r>
    </w:p>
    <w:p>
      <w:pPr>
        <w:pageBreakBefore w:val="0"/>
        <w:kinsoku/>
        <w:wordWrap/>
        <w:topLinePunct w:val="0"/>
        <w:bidi w:val="0"/>
        <w:spacing w:line="360" w:lineRule="auto"/>
        <w:ind w:firstLine="420" w:firstLineChars="200"/>
        <w:jc w:val="left"/>
        <w:textAlignment w:val="auto"/>
        <w:rPr>
          <w:rFonts w:hint="eastAsia" w:ascii="CESI宋体-GB2312" w:hAnsi="CESI宋体-GB2312" w:eastAsia="CESI宋体-GB2312" w:cs="CESI宋体-GB2312"/>
          <w:color w:val="auto"/>
          <w:kern w:val="0"/>
          <w:sz w:val="21"/>
          <w:szCs w:val="21"/>
          <w:lang w:val="en-US" w:eastAsia="zh-CN" w:bidi="ar-SA"/>
        </w:rPr>
      </w:pPr>
      <w:r>
        <w:rPr>
          <w:rFonts w:hint="eastAsia" w:ascii="CESI宋体-GB2312" w:hAnsi="CESI宋体-GB2312" w:eastAsia="CESI宋体-GB2312" w:cs="CESI宋体-GB2312"/>
          <w:color w:val="auto"/>
          <w:kern w:val="0"/>
          <w:sz w:val="21"/>
          <w:szCs w:val="21"/>
          <w:lang w:val="en-US" w:eastAsia="zh-CN" w:bidi="ar-SA"/>
        </w:rPr>
        <w:t>将压缩气泵固定于无人机机体上，并与气动软管（材质：食品级的聚四氟乙烯或PU ，参照GB 5477-1985和 GB/T10544-2011）进气口密封联接，在无人机启动时，同时启动气泵，气泵输出压力大于或等于2.5bar，保证空气正常在气动软管中流动；待无人机匀速上升（参照GB42590-2023）到达所需的高度（50米或100米）时，无人机悬停，气动软管的出气口联接气体压力阀，并与采气玻璃瓶的进气口密封联接，玻璃瓶出气口开放，进行充分冲洗。无人机悬停15分钟后，关闭采气玻璃瓶的出气口；待瓶中，软管中的气体气压达到1.1个大气压时（以气体压力阀显示数字为准），关闭采气玻璃瓶的进气口，打开气动软管的出气口。室外高空无人机空气采样完成。同时记录采样信息。</w:t>
      </w:r>
    </w:p>
    <w:p>
      <w:pPr>
        <w:pageBreakBefore w:val="0"/>
        <w:kinsoku/>
        <w:wordWrap/>
        <w:topLinePunct w:val="0"/>
        <w:bidi w:val="0"/>
        <w:spacing w:line="360" w:lineRule="auto"/>
        <w:ind w:firstLine="420" w:firstLineChars="200"/>
        <w:jc w:val="left"/>
        <w:textAlignment w:val="auto"/>
        <w:rPr>
          <w:rFonts w:hint="eastAsia" w:ascii="CESI宋体-GB2312" w:hAnsi="CESI宋体-GB2312" w:eastAsia="CESI宋体-GB2312" w:cs="CESI宋体-GB2312"/>
          <w:kern w:val="0"/>
          <w:sz w:val="21"/>
          <w:szCs w:val="21"/>
          <w:lang w:val="en-US" w:eastAsia="zh-CN" w:bidi="ar-SA"/>
        </w:rPr>
      </w:pPr>
      <w:r>
        <w:rPr>
          <w:rFonts w:hint="eastAsia" w:ascii="CESI宋体-GB2312" w:hAnsi="CESI宋体-GB2312" w:eastAsia="CESI宋体-GB2312" w:cs="CESI宋体-GB2312"/>
          <w:kern w:val="0"/>
          <w:sz w:val="21"/>
          <w:szCs w:val="21"/>
          <w:lang w:val="en-US" w:eastAsia="zh-CN" w:bidi="ar-SA"/>
        </w:rPr>
        <w:t>采样现场注意事项：</w:t>
      </w:r>
    </w:p>
    <w:p>
      <w:pPr>
        <w:pageBreakBefore w:val="0"/>
        <w:kinsoku/>
        <w:wordWrap/>
        <w:topLinePunct w:val="0"/>
        <w:bidi w:val="0"/>
        <w:spacing w:line="360" w:lineRule="auto"/>
        <w:ind w:firstLine="420" w:firstLineChars="200"/>
        <w:jc w:val="left"/>
        <w:textAlignment w:val="auto"/>
        <w:rPr>
          <w:rFonts w:hint="eastAsia" w:ascii="CESI宋体-GB2312" w:hAnsi="CESI宋体-GB2312" w:eastAsia="CESI宋体-GB2312" w:cs="CESI宋体-GB2312"/>
          <w:kern w:val="0"/>
          <w:sz w:val="21"/>
          <w:szCs w:val="21"/>
          <w:lang w:val="en-US" w:eastAsia="zh-CN" w:bidi="ar-SA"/>
        </w:rPr>
      </w:pPr>
      <w:r>
        <w:rPr>
          <w:rFonts w:hint="eastAsia" w:ascii="CESI宋体-GB2312" w:hAnsi="CESI宋体-GB2312" w:eastAsia="CESI宋体-GB2312" w:cs="CESI宋体-GB2312"/>
          <w:kern w:val="0"/>
          <w:sz w:val="21"/>
          <w:szCs w:val="21"/>
          <w:lang w:val="en-US" w:eastAsia="zh-CN" w:bidi="ar-SA"/>
        </w:rPr>
        <w:t>（1）在无人机采样开始采样工作前，须先采集并记录采样点的气象六要素。</w:t>
      </w:r>
    </w:p>
    <w:p>
      <w:pPr>
        <w:pageBreakBefore w:val="0"/>
        <w:kinsoku/>
        <w:wordWrap/>
        <w:topLinePunct w:val="0"/>
        <w:bidi w:val="0"/>
        <w:spacing w:line="360" w:lineRule="auto"/>
        <w:ind w:firstLine="420" w:firstLineChars="200"/>
        <w:jc w:val="left"/>
        <w:textAlignment w:val="auto"/>
        <w:rPr>
          <w:rFonts w:hint="eastAsia" w:ascii="CESI宋体-GB2312" w:hAnsi="CESI宋体-GB2312" w:eastAsia="CESI宋体-GB2312" w:cs="CESI宋体-GB2312"/>
          <w:kern w:val="0"/>
          <w:sz w:val="21"/>
          <w:szCs w:val="21"/>
          <w:lang w:val="en-US" w:eastAsia="zh-CN" w:bidi="ar-SA"/>
        </w:rPr>
      </w:pPr>
      <w:r>
        <w:rPr>
          <w:rFonts w:hint="eastAsia" w:ascii="CESI宋体-GB2312" w:hAnsi="CESI宋体-GB2312" w:eastAsia="CESI宋体-GB2312" w:cs="CESI宋体-GB2312"/>
          <w:kern w:val="0"/>
          <w:sz w:val="21"/>
          <w:szCs w:val="21"/>
          <w:lang w:val="en-US" w:eastAsia="zh-CN" w:bidi="ar-SA"/>
        </w:rPr>
        <w:t>（2）当采样点风力达到或超过六级风速时（即：10.8～13.8m/s），为确保飞行安全，不能开展采样工作；</w:t>
      </w:r>
    </w:p>
    <w:p>
      <w:pPr>
        <w:pageBreakBefore w:val="0"/>
        <w:kinsoku/>
        <w:wordWrap/>
        <w:topLinePunct w:val="0"/>
        <w:bidi w:val="0"/>
        <w:spacing w:line="360" w:lineRule="auto"/>
        <w:ind w:firstLine="420" w:firstLineChars="200"/>
        <w:jc w:val="left"/>
        <w:textAlignment w:val="auto"/>
        <w:rPr>
          <w:rFonts w:hint="eastAsia" w:ascii="CESI宋体-GB2312" w:hAnsi="CESI宋体-GB2312" w:eastAsia="CESI宋体-GB2312" w:cs="CESI宋体-GB2312"/>
          <w:kern w:val="0"/>
          <w:sz w:val="21"/>
          <w:szCs w:val="21"/>
          <w:lang w:val="en-US" w:eastAsia="zh-CN" w:bidi="ar-SA"/>
        </w:rPr>
      </w:pPr>
      <w:r>
        <w:rPr>
          <w:rFonts w:hint="eastAsia" w:ascii="CESI宋体-GB2312" w:hAnsi="CESI宋体-GB2312" w:eastAsia="CESI宋体-GB2312" w:cs="CESI宋体-GB2312"/>
          <w:kern w:val="0"/>
          <w:sz w:val="21"/>
          <w:szCs w:val="21"/>
          <w:lang w:val="en-US" w:eastAsia="zh-CN" w:bidi="ar-SA"/>
        </w:rPr>
        <w:t>（3）当采样点相对湿度超过70%时，应在采气玻璃瓶进气口前加装去湿装置。</w:t>
      </w:r>
    </w:p>
    <w:p>
      <w:pPr>
        <w:pageBreakBefore w:val="0"/>
        <w:kinsoku/>
        <w:wordWrap/>
        <w:topLinePunct w:val="0"/>
        <w:bidi w:val="0"/>
        <w:spacing w:line="360" w:lineRule="auto"/>
        <w:ind w:firstLine="420" w:firstLineChars="20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 xml:space="preserve">流量控制 </w:t>
      </w:r>
    </w:p>
    <w:p>
      <w:pPr>
        <w:pageBreakBefore w:val="0"/>
        <w:kinsoku/>
        <w:wordWrap/>
        <w:topLinePunct w:val="0"/>
        <w:bidi w:val="0"/>
        <w:spacing w:line="360" w:lineRule="auto"/>
        <w:ind w:firstLine="420" w:firstLineChars="20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用于采样流量控制、压力调节，一般由流量控制设备、压力调节装置等部件组成。</w:t>
      </w:r>
    </w:p>
    <w:p>
      <w:pPr>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ab/>
      </w:r>
      <w:r>
        <w:rPr>
          <w:rFonts w:hint="eastAsia" w:ascii="CESI宋体-GB2312" w:hAnsi="CESI宋体-GB2312" w:eastAsia="CESI宋体-GB2312" w:cs="CESI宋体-GB2312"/>
          <w:sz w:val="21"/>
          <w:szCs w:val="21"/>
          <w:lang w:val="en-US" w:eastAsia="zh-CN"/>
        </w:rPr>
        <w:t>除水冷阱</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用于去除样气中的水汽，避免水汽对温室气体监测产生影响。制冷工作温度≤-50℃，除水后样品气体绝对湿度小于0.005%。</w:t>
      </w:r>
    </w:p>
    <w:p>
      <w:pPr>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ab/>
      </w:r>
      <w:r>
        <w:rPr>
          <w:rFonts w:hint="eastAsia" w:ascii="CESI宋体-GB2312" w:hAnsi="CESI宋体-GB2312" w:eastAsia="CESI宋体-GB2312" w:cs="CESI宋体-GB2312"/>
          <w:sz w:val="21"/>
          <w:szCs w:val="21"/>
          <w:lang w:val="en-US" w:eastAsia="zh-CN"/>
        </w:rPr>
        <w:t>采样容器</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可使用5 L以上密封性良好的气体采样袋，也可使用4 L以上的玻璃采样瓶（瓶体外侧应有防爆保护层），如样品CO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lang w:val="en-US" w:eastAsia="zh-CN"/>
        </w:rPr>
        <w:t>浓度较高且采样容器压力较大，可适当减小采样容器体积。</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采样管</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材质对CO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lang w:val="en-US" w:eastAsia="zh-CN"/>
        </w:rPr>
        <w:t>无污染、无吸附或不发生反应，内径一般为5 mm～10 mm。</w:t>
      </w:r>
    </w:p>
    <w:p>
      <w:pPr>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ab/>
      </w:r>
      <w:r>
        <w:rPr>
          <w:rFonts w:hint="eastAsia" w:ascii="CESI宋体-GB2312" w:hAnsi="CESI宋体-GB2312" w:eastAsia="CESI宋体-GB2312" w:cs="CESI宋体-GB2312"/>
          <w:sz w:val="21"/>
          <w:szCs w:val="21"/>
          <w:lang w:val="en-US" w:eastAsia="zh-CN"/>
        </w:rPr>
        <w:t>变径接头</w:t>
      </w:r>
    </w:p>
    <w:p>
      <w:pPr>
        <w:pStyle w:val="39"/>
        <w:pageBreakBefore w:val="0"/>
        <w:kinsoku/>
        <w:wordWrap/>
        <w:topLinePunct w:val="0"/>
        <w:bidi w:val="0"/>
        <w:spacing w:line="360" w:lineRule="auto"/>
        <w:textAlignment w:val="auto"/>
        <w:rPr>
          <w:rFonts w:hint="eastAsia" w:ascii="CESI宋体-GB2312" w:hAnsi="CESI宋体-GB2312" w:eastAsia="CESI宋体-GB2312" w:cs="CESI宋体-GB2312"/>
          <w:sz w:val="21"/>
          <w:szCs w:val="21"/>
        </w:rPr>
      </w:pPr>
      <w:r>
        <w:rPr>
          <w:rFonts w:hint="eastAsia" w:ascii="CESI宋体-GB2312" w:hAnsi="CESI宋体-GB2312" w:eastAsia="CESI宋体-GB2312" w:cs="CESI宋体-GB2312"/>
          <w:sz w:val="21"/>
          <w:szCs w:val="21"/>
        </w:rPr>
        <w:t>材质对CO</w:t>
      </w:r>
      <w:r>
        <w:rPr>
          <w:rFonts w:hint="eastAsia" w:ascii="CESI宋体-GB2312" w:hAnsi="CESI宋体-GB2312" w:eastAsia="CESI宋体-GB2312" w:cs="CESI宋体-GB2312"/>
          <w:sz w:val="21"/>
          <w:szCs w:val="21"/>
          <w:vertAlign w:val="subscript"/>
        </w:rPr>
        <w:t>2</w:t>
      </w:r>
      <w:r>
        <w:rPr>
          <w:rFonts w:hint="eastAsia" w:ascii="CESI宋体-GB2312" w:hAnsi="CESI宋体-GB2312" w:eastAsia="CESI宋体-GB2312" w:cs="CESI宋体-GB2312"/>
          <w:sz w:val="21"/>
          <w:szCs w:val="21"/>
        </w:rPr>
        <w:t>无污染、无吸附或不发生反应，不锈钢材质为佳。</w:t>
      </w:r>
    </w:p>
    <w:p>
      <w:pPr>
        <w:pageBreakBefore w:val="0"/>
        <w:kinsoku/>
        <w:wordWrap/>
        <w:topLinePunct w:val="0"/>
        <w:bidi w:val="0"/>
        <w:spacing w:line="360" w:lineRule="auto"/>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 xml:space="preserve">7.5.2.1 </w:t>
      </w:r>
      <w:r>
        <w:rPr>
          <w:rFonts w:hint="eastAsia" w:ascii="CESI宋体-GB2312" w:hAnsi="CESI宋体-GB2312" w:eastAsia="CESI宋体-GB2312" w:cs="CESI宋体-GB2312"/>
          <w:sz w:val="21"/>
          <w:szCs w:val="21"/>
          <w:vertAlign w:val="superscript"/>
          <w:lang w:val="en-US" w:eastAsia="zh-CN"/>
        </w:rPr>
        <w:t>14</w:t>
      </w:r>
      <w:r>
        <w:rPr>
          <w:rFonts w:hint="eastAsia" w:ascii="CESI宋体-GB2312" w:hAnsi="CESI宋体-GB2312" w:eastAsia="CESI宋体-GB2312" w:cs="CESI宋体-GB2312"/>
          <w:sz w:val="21"/>
          <w:szCs w:val="21"/>
          <w:lang w:val="en-US" w:eastAsia="zh-CN"/>
        </w:rPr>
        <w:t>C监测系统</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vertAlign w:val="baseline"/>
          <w:lang w:val="en-US" w:eastAsia="zh-CN"/>
        </w:rPr>
        <w:t>1</w:t>
      </w:r>
      <w:r>
        <w:rPr>
          <w:rFonts w:hint="eastAsia" w:ascii="CESI宋体-GB2312" w:hAnsi="CESI宋体-GB2312" w:eastAsia="CESI宋体-GB2312" w:cs="CESI宋体-GB2312"/>
          <w:sz w:val="21"/>
          <w:szCs w:val="21"/>
          <w:vertAlign w:val="superscript"/>
          <w:lang w:val="en-US" w:eastAsia="zh-CN"/>
        </w:rPr>
        <w:t>.  14</w:t>
      </w:r>
      <w:r>
        <w:rPr>
          <w:rFonts w:hint="eastAsia" w:ascii="CESI宋体-GB2312" w:hAnsi="CESI宋体-GB2312" w:eastAsia="CESI宋体-GB2312" w:cs="CESI宋体-GB2312"/>
          <w:sz w:val="21"/>
          <w:szCs w:val="21"/>
          <w:lang w:val="en-US" w:eastAsia="zh-CN"/>
        </w:rPr>
        <w:t>CO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lang w:val="en-US" w:eastAsia="zh-CN"/>
        </w:rPr>
        <w:t>纯化系统</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可由实验室自行搭建，也可购置商品化设备。主要部件包括机械泵、真空计、压力计、真空管道、无油脂阀门、各种口径连接件、气体流量控制器、针阀、液氮冷阱（≤ -196℃）、除水冷阱（-90℃～-78℃）等。该系统主要用于分离大气中的CO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lang w:val="en-US" w:eastAsia="zh-CN"/>
        </w:rPr>
        <w:t>气体，收集提纯到的CO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lang w:val="en-US" w:eastAsia="zh-CN"/>
        </w:rPr>
        <w:t>气体，测量收集到的CO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lang w:val="en-US" w:eastAsia="zh-CN"/>
        </w:rPr>
        <w:t>气体压力，根据压力计算碳质量，将收集到的适量CO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lang w:val="en-US" w:eastAsia="zh-CN"/>
        </w:rPr>
        <w:t>气体转移至石墨合成管或还原反应装置，用于合成石墨。纯化系统还应包括：</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铝制靶：用于压制石墨靶。</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lang w:val="en-US" w:eastAsia="zh-CN"/>
        </w:rPr>
        <w:t>压靶机：将合成的石墨压进铝制靶中。</w:t>
      </w:r>
    </w:p>
    <w:p>
      <w:pPr>
        <w:pageBreakBefore w:val="0"/>
        <w:numPr>
          <w:ilvl w:val="0"/>
          <w:numId w:val="4"/>
        </w:numPr>
        <w:kinsoku/>
        <w:wordWrap/>
        <w:topLinePunct w:val="0"/>
        <w:bidi w:val="0"/>
        <w:spacing w:line="360" w:lineRule="auto"/>
        <w:ind w:left="420" w:left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vertAlign w:val="superscript"/>
          <w:lang w:val="en-US" w:eastAsia="zh-CN"/>
        </w:rPr>
        <w:t>14</w:t>
      </w:r>
      <w:r>
        <w:rPr>
          <w:rFonts w:hint="eastAsia" w:ascii="CESI宋体-GB2312" w:hAnsi="CESI宋体-GB2312" w:eastAsia="CESI宋体-GB2312" w:cs="CESI宋体-GB2312"/>
          <w:sz w:val="21"/>
          <w:szCs w:val="21"/>
          <w:lang w:val="en-US" w:eastAsia="zh-CN"/>
        </w:rPr>
        <w:t>CO</w:t>
      </w:r>
      <w:r>
        <w:rPr>
          <w:rFonts w:hint="eastAsia" w:ascii="CESI宋体-GB2312" w:hAnsi="CESI宋体-GB2312" w:eastAsia="CESI宋体-GB2312" w:cs="CESI宋体-GB2312"/>
          <w:sz w:val="21"/>
          <w:szCs w:val="21"/>
          <w:vertAlign w:val="subscript"/>
          <w:lang w:val="en-US" w:eastAsia="zh-CN"/>
        </w:rPr>
        <w:t>2</w:t>
      </w:r>
      <w:r>
        <w:rPr>
          <w:rFonts w:hint="eastAsia" w:ascii="CESI宋体-GB2312" w:hAnsi="CESI宋体-GB2312" w:eastAsia="CESI宋体-GB2312" w:cs="CESI宋体-GB2312"/>
          <w:sz w:val="21"/>
          <w:szCs w:val="21"/>
          <w:lang w:val="en-US" w:eastAsia="zh-CN"/>
        </w:rPr>
        <w:t>同位素分析系统</w:t>
      </w:r>
    </w:p>
    <w:p>
      <w:pPr>
        <w:pageBreakBefore w:val="0"/>
        <w:kinsoku/>
        <w:wordWrap/>
        <w:topLinePunct w:val="0"/>
        <w:bidi w:val="0"/>
        <w:spacing w:line="360" w:lineRule="auto"/>
        <w:ind w:firstLine="420" w:firstLineChars="0"/>
        <w:textAlignment w:val="auto"/>
        <w:rPr>
          <w:rFonts w:hint="eastAsia" w:ascii="CESI宋体-GB2312" w:hAnsi="CESI宋体-GB2312" w:eastAsia="CESI宋体-GB2312" w:cs="CESI宋体-GB2312"/>
          <w:sz w:val="21"/>
          <w:szCs w:val="21"/>
          <w:lang w:val="en-US" w:eastAsia="zh-CN"/>
        </w:rPr>
      </w:pPr>
      <w:r>
        <w:rPr>
          <w:rFonts w:hint="eastAsia" w:ascii="CESI宋体-GB2312" w:hAnsi="CESI宋体-GB2312" w:eastAsia="CESI宋体-GB2312" w:cs="CESI宋体-GB2312"/>
          <w:sz w:val="21"/>
          <w:szCs w:val="21"/>
          <w:vertAlign w:val="superscript"/>
          <w:lang w:val="en-US" w:eastAsia="zh-CN"/>
        </w:rPr>
        <w:t>14</w:t>
      </w:r>
      <w:r>
        <w:rPr>
          <w:rFonts w:hint="eastAsia" w:ascii="CESI宋体-GB2312" w:hAnsi="CESI宋体-GB2312" w:eastAsia="CESI宋体-GB2312" w:cs="CESI宋体-GB2312"/>
          <w:sz w:val="21"/>
          <w:szCs w:val="21"/>
          <w:lang w:val="en-US" w:eastAsia="zh-CN"/>
        </w:rPr>
        <w:t>C同位素分析系统即加速器质谱系统（AMS），用于测量14C，测量精度为2.0‰。加速器质谱系统由离子源系统、快速交替注入系统、串列加速器系统、高能质谱分析系统、探测器系统和控制系统组成等。可由实验室自主设计，各装置在细节处有一定差异，但基本原理一致，也可购置一体化系统。参考加速器质谱仪系统示意图（图1）所示。</w:t>
      </w:r>
    </w:p>
    <w:p>
      <w:pPr>
        <w:pageBreakBefore w:val="0"/>
        <w:kinsoku/>
        <w:wordWrap/>
        <w:topLinePunct w:val="0"/>
        <w:bidi w:val="0"/>
        <w:spacing w:line="36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18"/>
          <w:szCs w:val="18"/>
        </w:rPr>
        <w:drawing>
          <wp:anchor distT="0" distB="0" distL="114300" distR="114300" simplePos="0" relativeHeight="251659264" behindDoc="0" locked="0" layoutInCell="1" allowOverlap="1">
            <wp:simplePos x="0" y="0"/>
            <wp:positionH relativeFrom="column">
              <wp:posOffset>313055</wp:posOffset>
            </wp:positionH>
            <wp:positionV relativeFrom="paragraph">
              <wp:posOffset>136525</wp:posOffset>
            </wp:positionV>
            <wp:extent cx="4763770" cy="2179320"/>
            <wp:effectExtent l="0" t="0" r="17780" b="11430"/>
            <wp:wrapTopAndBottom/>
            <wp:docPr id="8"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true"/>
                    </pic:cNvPicPr>
                  </pic:nvPicPr>
                  <pic:blipFill>
                    <a:blip r:embed="rId19"/>
                    <a:srcRect r="-14" b="23529"/>
                    <a:stretch>
                      <a:fillRect/>
                    </a:stretch>
                  </pic:blipFill>
                  <pic:spPr>
                    <a:xfrm>
                      <a:off x="0" y="0"/>
                      <a:ext cx="4763770" cy="217932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图1  加速器质谱系统构造示意图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1.离子源系统；2. 快速交替注入系统；3. 串列加速器系统；4. 高能质谱分析系统；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5. 探测器系统；6. 控制系统</w:t>
      </w:r>
    </w:p>
    <w:p>
      <w:pPr>
        <w:pageBreakBefore w:val="0"/>
        <w:kinsoku/>
        <w:wordWrap/>
        <w:topLinePunct w:val="0"/>
        <w:bidi w:val="0"/>
        <w:spacing w:line="360" w:lineRule="auto"/>
        <w:textAlignment w:val="auto"/>
        <w:rPr>
          <w:rFonts w:hint="default" w:ascii="Times New Roman" w:hAnsi="Times New Roman" w:eastAsia="宋体" w:cs="Times New Roman"/>
          <w:color w:val="auto"/>
          <w:sz w:val="21"/>
          <w:szCs w:val="21"/>
          <w:lang w:val="en-US" w:eastAsia="zh-CN"/>
        </w:rPr>
      </w:pPr>
      <w:bookmarkStart w:id="35" w:name="_Toc25635"/>
      <w:r>
        <w:rPr>
          <w:rFonts w:hint="eastAsia"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val="en-US" w:eastAsia="zh-CN"/>
        </w:rPr>
        <w:t>.5.3样品采集</w:t>
      </w:r>
      <w:bookmarkEnd w:id="35"/>
    </w:p>
    <w:p>
      <w:pPr>
        <w:pageBreakBefore w:val="0"/>
        <w:kinsoku/>
        <w:wordWrap/>
        <w:topLinePunct w:val="0"/>
        <w:bidi w:val="0"/>
        <w:spacing w:line="360" w:lineRule="auto"/>
        <w:textAlignment w:val="auto"/>
        <w:rPr>
          <w:rFonts w:hint="default" w:ascii="Times New Roman" w:hAnsi="Times New Roman" w:eastAsia="宋体" w:cs="Times New Roman"/>
          <w:sz w:val="21"/>
          <w:szCs w:val="21"/>
          <w:lang w:val="en-US" w:eastAsia="zh-CN"/>
        </w:rPr>
      </w:pPr>
      <w:bookmarkStart w:id="36" w:name="_Toc11985"/>
      <w:bookmarkStart w:id="37" w:name="_Toc1122"/>
      <w:bookmarkStart w:id="38" w:name="_Toc128676483"/>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.5.3.1点位布设</w:t>
      </w:r>
      <w:bookmarkEnd w:id="36"/>
      <w:bookmarkEnd w:id="37"/>
      <w:bookmarkEnd w:id="38"/>
    </w:p>
    <w:p>
      <w:pPr>
        <w:pageBreakBefore w:val="0"/>
        <w:kinsoku/>
        <w:wordWrap/>
        <w:topLinePunct w:val="0"/>
        <w:bidi w:val="0"/>
        <w:spacing w:line="360" w:lineRule="auto"/>
        <w:ind w:firstLine="42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 xml:space="preserve">按照HJ </w:t>
      </w:r>
      <w:r>
        <w:rPr>
          <w:rFonts w:hint="default" w:ascii="Times New Roman" w:hAnsi="Times New Roman" w:eastAsia="宋体" w:cs="Times New Roman"/>
          <w:sz w:val="21"/>
          <w:szCs w:val="21"/>
          <w:highlight w:val="none"/>
        </w:rPr>
        <w:t>664中相关要求确定点位，至少需设置一个城市点位。采样口周围水平面尽可能保证360°以上的捕集空间，优先布置在开放式</w:t>
      </w:r>
      <w:r>
        <w:rPr>
          <w:rFonts w:hint="default" w:ascii="Times New Roman" w:hAnsi="Times New Roman" w:eastAsia="宋体" w:cs="Times New Roman"/>
          <w:sz w:val="21"/>
          <w:szCs w:val="21"/>
          <w:highlight w:val="none"/>
          <w:lang w:val="en-US" w:eastAsia="zh-CN"/>
        </w:rPr>
        <w:t>采样</w:t>
      </w:r>
      <w:r>
        <w:rPr>
          <w:rFonts w:hint="default" w:ascii="Times New Roman" w:hAnsi="Times New Roman" w:eastAsia="宋体" w:cs="Times New Roman"/>
          <w:sz w:val="21"/>
          <w:szCs w:val="21"/>
          <w:highlight w:val="none"/>
        </w:rPr>
        <w:t>塔上，采样口距离地基相对高度在50~100米，保证采集充分混合的环境空气，</w:t>
      </w:r>
      <w:r>
        <w:rPr>
          <w:rFonts w:hint="default" w:ascii="Times New Roman" w:hAnsi="Times New Roman" w:eastAsia="宋体" w:cs="Times New Roman"/>
          <w:sz w:val="21"/>
          <w:szCs w:val="21"/>
          <w:highlight w:val="none"/>
          <w:lang w:eastAsia="zh-Hans"/>
        </w:rPr>
        <w:t>同时</w:t>
      </w:r>
      <w:r>
        <w:rPr>
          <w:rFonts w:hint="default" w:ascii="Times New Roman" w:hAnsi="Times New Roman" w:eastAsia="宋体" w:cs="Times New Roman"/>
          <w:sz w:val="21"/>
          <w:szCs w:val="21"/>
          <w:highlight w:val="none"/>
        </w:rPr>
        <w:t>避免</w:t>
      </w:r>
      <w:r>
        <w:rPr>
          <w:rFonts w:hint="default" w:ascii="Times New Roman" w:hAnsi="Times New Roman" w:eastAsia="宋体" w:cs="Times New Roman"/>
          <w:sz w:val="21"/>
          <w:szCs w:val="21"/>
          <w:highlight w:val="none"/>
          <w:lang w:eastAsia="zh-Hans"/>
        </w:rPr>
        <w:t>受到</w:t>
      </w:r>
      <w:r>
        <w:rPr>
          <w:rFonts w:hint="default" w:ascii="Times New Roman" w:hAnsi="Times New Roman" w:eastAsia="宋体" w:cs="Times New Roman"/>
          <w:sz w:val="21"/>
          <w:szCs w:val="21"/>
          <w:highlight w:val="none"/>
        </w:rPr>
        <w:t>局地人为和自然源汇影响。</w:t>
      </w:r>
    </w:p>
    <w:p>
      <w:pPr>
        <w:pageBreakBefore w:val="0"/>
        <w:kinsoku/>
        <w:wordWrap/>
        <w:topLinePunct w:val="0"/>
        <w:bidi w:val="0"/>
        <w:spacing w:line="360" w:lineRule="auto"/>
        <w:textAlignment w:val="auto"/>
        <w:rPr>
          <w:rFonts w:hint="default" w:ascii="Times New Roman" w:hAnsi="Times New Roman" w:eastAsia="宋体" w:cs="Times New Roman"/>
          <w:sz w:val="21"/>
          <w:szCs w:val="21"/>
          <w:highlight w:val="none"/>
        </w:rPr>
      </w:pPr>
      <w:bookmarkStart w:id="39" w:name="_Toc128676484"/>
      <w:bookmarkStart w:id="40" w:name="_Toc19036"/>
      <w:bookmarkStart w:id="41" w:name="_Toc14026"/>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val="en-US" w:eastAsia="zh-CN"/>
        </w:rPr>
        <w:t>.5.3.2</w:t>
      </w:r>
      <w:r>
        <w:rPr>
          <w:rFonts w:hint="default" w:ascii="Times New Roman" w:hAnsi="Times New Roman" w:eastAsia="宋体" w:cs="Times New Roman"/>
          <w:sz w:val="21"/>
          <w:szCs w:val="21"/>
          <w:highlight w:val="none"/>
        </w:rPr>
        <w:t>采样时间频次</w:t>
      </w:r>
      <w:bookmarkEnd w:id="39"/>
      <w:r>
        <w:rPr>
          <w:rFonts w:hint="default" w:ascii="Times New Roman" w:hAnsi="Times New Roman" w:eastAsia="宋体" w:cs="Times New Roman"/>
          <w:sz w:val="21"/>
          <w:szCs w:val="21"/>
          <w:highlight w:val="none"/>
        </w:rPr>
        <w:t>以及采样方式</w:t>
      </w:r>
      <w:bookmarkEnd w:id="40"/>
      <w:bookmarkEnd w:id="41"/>
    </w:p>
    <w:p>
      <w:pPr>
        <w:pStyle w:val="39"/>
        <w:pageBreakBefore w:val="0"/>
        <w:kinsoku/>
        <w:wordWrap/>
        <w:topLinePunct w:val="0"/>
        <w:bidi w:val="0"/>
        <w:spacing w:line="360" w:lineRule="auto"/>
        <w:textAlignment w:val="auto"/>
        <w:rPr>
          <w:rFonts w:hint="default" w:ascii="Times New Roman" w:hAnsi="Times New Roman" w:eastAsia="宋体" w:cs="Times New Roman"/>
          <w:sz w:val="21"/>
          <w:szCs w:val="21"/>
          <w:highlight w:val="none"/>
        </w:rPr>
      </w:pPr>
      <w:bookmarkStart w:id="42" w:name="_bookmark1"/>
      <w:bookmarkEnd w:id="42"/>
      <w:r>
        <w:rPr>
          <w:rFonts w:hint="default" w:ascii="Times New Roman" w:hAnsi="Times New Roman" w:eastAsia="宋体" w:cs="Times New Roman"/>
          <w:sz w:val="21"/>
          <w:szCs w:val="21"/>
          <w:highlight w:val="none"/>
        </w:rPr>
        <w:t>监测选取大气混合均匀、对流最旺盛、混合层高度最高的时段，一般可</w:t>
      </w:r>
      <w:r>
        <w:rPr>
          <w:rFonts w:hint="default" w:ascii="Times New Roman" w:hAnsi="Times New Roman" w:eastAsia="宋体" w:cs="Times New Roman"/>
          <w:sz w:val="21"/>
          <w:szCs w:val="21"/>
          <w:highlight w:val="none"/>
          <w:lang w:eastAsia="zh-Hans"/>
        </w:rPr>
        <w:t>在</w:t>
      </w:r>
      <w:r>
        <w:rPr>
          <w:rFonts w:hint="default" w:ascii="Times New Roman" w:hAnsi="Times New Roman" w:eastAsia="宋体" w:cs="Times New Roman"/>
          <w:sz w:val="21"/>
          <w:szCs w:val="21"/>
          <w:highlight w:val="none"/>
        </w:rPr>
        <w:t>14时</w:t>
      </w:r>
      <w:r>
        <w:rPr>
          <w:rFonts w:hint="default" w:ascii="Times New Roman" w:hAnsi="Times New Roman" w:eastAsia="宋体" w:cs="Times New Roman"/>
          <w:sz w:val="21"/>
          <w:szCs w:val="21"/>
          <w:highlight w:val="none"/>
          <w:lang w:eastAsia="zh-Hans"/>
        </w:rPr>
        <w:t>至</w:t>
      </w:r>
      <w:r>
        <w:rPr>
          <w:rFonts w:hint="default" w:ascii="Times New Roman" w:hAnsi="Times New Roman" w:eastAsia="宋体" w:cs="Times New Roman"/>
          <w:sz w:val="21"/>
          <w:szCs w:val="21"/>
          <w:highlight w:val="none"/>
        </w:rPr>
        <w:t>15时之间</w:t>
      </w:r>
      <w:r>
        <w:rPr>
          <w:rFonts w:hint="default" w:ascii="Times New Roman" w:hAnsi="Times New Roman" w:eastAsia="宋体" w:cs="Times New Roman"/>
          <w:sz w:val="21"/>
          <w:szCs w:val="21"/>
          <w:highlight w:val="none"/>
          <w:lang w:eastAsia="zh-Hans"/>
        </w:rPr>
        <w:t>进行</w:t>
      </w:r>
      <w:r>
        <w:rPr>
          <w:rFonts w:hint="default" w:ascii="Times New Roman" w:hAnsi="Times New Roman" w:eastAsia="宋体" w:cs="Times New Roman"/>
          <w:sz w:val="21"/>
          <w:szCs w:val="21"/>
          <w:highlight w:val="none"/>
        </w:rPr>
        <w:t>采样。不宜</w:t>
      </w:r>
      <w:r>
        <w:rPr>
          <w:rFonts w:hint="default" w:ascii="Times New Roman" w:hAnsi="Times New Roman" w:eastAsia="宋体" w:cs="Times New Roman"/>
          <w:sz w:val="21"/>
          <w:szCs w:val="21"/>
          <w:highlight w:val="none"/>
          <w:lang w:eastAsia="zh-Hans"/>
        </w:rPr>
        <w:t>在</w:t>
      </w:r>
      <w:r>
        <w:rPr>
          <w:rFonts w:hint="default" w:ascii="Times New Roman" w:hAnsi="Times New Roman" w:eastAsia="宋体" w:cs="Times New Roman"/>
          <w:sz w:val="21"/>
          <w:szCs w:val="21"/>
          <w:highlight w:val="none"/>
        </w:rPr>
        <w:t>降水、沙尘等不利天气条件开展监测。</w:t>
      </w:r>
    </w:p>
    <w:p>
      <w:pPr>
        <w:pStyle w:val="39"/>
        <w:pageBreakBefore w:val="0"/>
        <w:kinsoku/>
        <w:wordWrap/>
        <w:topLinePunct w:val="0"/>
        <w:bidi w:val="0"/>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采样频次建议至少每周采样1次，如不具备条件，可适当降低采样频次。</w:t>
      </w:r>
    </w:p>
    <w:p>
      <w:pPr>
        <w:pStyle w:val="39"/>
        <w:pageBreakBefore w:val="0"/>
        <w:kinsoku/>
        <w:wordWrap/>
        <w:topLinePunct w:val="0"/>
        <w:bidi w:val="0"/>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采样方式为地面</w:t>
      </w:r>
      <w:r>
        <w:rPr>
          <w:rFonts w:hint="default" w:ascii="Times New Roman" w:hAnsi="Times New Roman" w:eastAsia="宋体" w:cs="Times New Roman"/>
          <w:sz w:val="21"/>
          <w:szCs w:val="21"/>
          <w:highlight w:val="none"/>
          <w:lang w:val="en-US" w:eastAsia="zh-CN"/>
        </w:rPr>
        <w:t>高塔</w:t>
      </w:r>
      <w:r>
        <w:rPr>
          <w:rFonts w:hint="default" w:ascii="Times New Roman" w:hAnsi="Times New Roman" w:eastAsia="宋体" w:cs="Times New Roman"/>
          <w:sz w:val="21"/>
          <w:szCs w:val="21"/>
          <w:highlight w:val="none"/>
        </w:rPr>
        <w:t>采样和无人机采样。</w:t>
      </w:r>
    </w:p>
    <w:p>
      <w:pPr>
        <w:pageBreakBefore w:val="0"/>
        <w:kinsoku/>
        <w:wordWrap/>
        <w:topLinePunct w:val="0"/>
        <w:bidi w:val="0"/>
        <w:spacing w:line="360" w:lineRule="auto"/>
        <w:textAlignment w:val="auto"/>
        <w:rPr>
          <w:rFonts w:hint="default" w:ascii="Times New Roman" w:hAnsi="Times New Roman" w:eastAsia="宋体" w:cs="Times New Roman"/>
          <w:sz w:val="21"/>
          <w:szCs w:val="21"/>
          <w:lang w:val="en-US" w:eastAsia="zh-CN"/>
        </w:rPr>
      </w:pPr>
      <w:bookmarkStart w:id="43" w:name="_Toc128676485"/>
      <w:bookmarkStart w:id="44" w:name="_Toc22669"/>
      <w:bookmarkStart w:id="45" w:name="_Toc31104"/>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.5.3.3采样</w:t>
      </w:r>
      <w:bookmarkEnd w:id="43"/>
      <w:bookmarkEnd w:id="44"/>
      <w:bookmarkEnd w:id="45"/>
    </w:p>
    <w:p>
      <w:pPr>
        <w:pStyle w:val="54"/>
        <w:keepNext w:val="0"/>
        <w:keepLines w:val="0"/>
        <w:pageBreakBefore w:val="0"/>
        <w:widowControl/>
        <w:numPr>
          <w:ilvl w:val="0"/>
          <w:numId w:val="5"/>
        </w:numPr>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default" w:ascii="Times New Roman" w:hAnsi="Times New Roman" w:eastAsia="宋体" w:cs="Times New Roman"/>
          <w:sz w:val="21"/>
          <w:szCs w:val="21"/>
          <w:vertAlign w:val="baseline"/>
          <w:lang w:eastAsia="zh-Hans"/>
        </w:rPr>
      </w:pPr>
      <w:bookmarkStart w:id="46" w:name="_Toc128676486"/>
      <w:bookmarkStart w:id="47" w:name="_Toc31564"/>
      <w:r>
        <w:rPr>
          <w:rFonts w:hint="eastAsia" w:ascii="Times New Roman" w:eastAsia="宋体" w:cs="Times New Roman"/>
          <w:sz w:val="21"/>
          <w:szCs w:val="21"/>
          <w:vertAlign w:val="baseline"/>
          <w:lang w:val="en-US" w:eastAsia="zh-CN"/>
        </w:rPr>
        <w:t xml:space="preserve"> </w:t>
      </w:r>
      <w:r>
        <w:rPr>
          <w:rFonts w:hint="default" w:ascii="Times New Roman" w:hAnsi="Times New Roman" w:eastAsia="宋体" w:cs="Times New Roman"/>
          <w:sz w:val="21"/>
          <w:szCs w:val="21"/>
          <w:vertAlign w:val="baseline"/>
          <w:lang w:eastAsia="zh-Hans"/>
        </w:rPr>
        <w:t>气路连接</w:t>
      </w:r>
      <w:bookmarkEnd w:id="46"/>
      <w:bookmarkEnd w:id="47"/>
    </w:p>
    <w:p>
      <w:pPr>
        <w:keepNext w:val="0"/>
        <w:keepLines w:val="0"/>
        <w:pageBreakBefore w:val="0"/>
        <w:widowControl w:val="0"/>
        <w:kinsoku/>
        <w:wordWrap/>
        <w:overflowPunct w:val="0"/>
        <w:topLinePunct w:val="0"/>
        <w:autoSpaceDE w:val="0"/>
        <w:autoSpaceDN w:val="0"/>
        <w:bidi w:val="0"/>
        <w:adjustRightInd w:val="0"/>
        <w:snapToGrid/>
        <w:spacing w:line="360" w:lineRule="auto"/>
        <w:ind w:firstLine="420"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地面采样系统：地面处采样管连接采样泵、</w:t>
      </w:r>
      <w:r>
        <w:rPr>
          <w:rFonts w:hint="default" w:ascii="Times New Roman" w:hAnsi="Times New Roman" w:eastAsia="宋体" w:cs="Times New Roman"/>
          <w:kern w:val="0"/>
          <w:sz w:val="21"/>
          <w:szCs w:val="21"/>
          <w:lang w:eastAsia="zh-Hans"/>
        </w:rPr>
        <w:t>流速测量装置、</w:t>
      </w:r>
      <w:r>
        <w:rPr>
          <w:rFonts w:hint="default" w:ascii="Times New Roman" w:hAnsi="Times New Roman" w:eastAsia="宋体" w:cs="Times New Roman"/>
          <w:kern w:val="0"/>
          <w:sz w:val="21"/>
          <w:szCs w:val="21"/>
        </w:rPr>
        <w:t>采样容器等。每次采样前，封闭采样泵至采样容器的气路及部件检查气密性。对于双口采样容器，设置平行样的串联采集气路；对于单口采样容器，设置平行样的并联采集气路。</w:t>
      </w:r>
    </w:p>
    <w:p>
      <w:pPr>
        <w:pageBreakBefore w:val="0"/>
        <w:kinsoku/>
        <w:wordWrap/>
        <w:overflowPunct w:val="0"/>
        <w:topLinePunct w:val="0"/>
        <w:autoSpaceDE w:val="0"/>
        <w:autoSpaceDN w:val="0"/>
        <w:bidi w:val="0"/>
        <w:adjustRightInd w:val="0"/>
        <w:spacing w:line="360" w:lineRule="auto"/>
        <w:ind w:firstLine="420" w:firstLineChars="200"/>
        <w:textAlignment w:val="auto"/>
        <w:rPr>
          <w:rFonts w:hint="default" w:ascii="Times New Roman" w:hAnsi="Times New Roman" w:eastAsia="宋体" w:cs="Times New Roman"/>
          <w:kern w:val="0"/>
          <w:sz w:val="21"/>
          <w:szCs w:val="21"/>
          <w:highlight w:val="none"/>
        </w:rPr>
      </w:pPr>
      <w:r>
        <w:rPr>
          <w:rFonts w:hint="default" w:ascii="Times New Roman" w:hAnsi="Times New Roman" w:eastAsia="宋体" w:cs="Times New Roman"/>
          <w:kern w:val="0"/>
          <w:sz w:val="21"/>
          <w:szCs w:val="21"/>
          <w:highlight w:val="none"/>
        </w:rPr>
        <w:t>无人机采样系统：将采样泵固定于无人机机体上，与气动软管、压力表、流速测量装置、采样容器等密封联接，在无人机启动时，气泵启动，保证气体正常在气动软管中流动，封闭采样泵至采样容器的气路及部件检查气密性。对于双口采样容器，设置平行样的串联采集气路；对于单口采样容器，设置平行样的并联采集气路。</w:t>
      </w:r>
    </w:p>
    <w:p>
      <w:pPr>
        <w:pStyle w:val="54"/>
        <w:keepNext w:val="0"/>
        <w:keepLines w:val="0"/>
        <w:pageBreakBefore w:val="0"/>
        <w:widowControl/>
        <w:numPr>
          <w:ilvl w:val="0"/>
          <w:numId w:val="5"/>
        </w:numPr>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default" w:ascii="Times New Roman" w:hAnsi="Times New Roman" w:eastAsia="宋体" w:cs="Times New Roman"/>
          <w:sz w:val="21"/>
          <w:szCs w:val="21"/>
          <w:vertAlign w:val="baseline"/>
          <w:lang w:val="en-US" w:eastAsia="zh-CN"/>
        </w:rPr>
      </w:pPr>
      <w:bookmarkStart w:id="48" w:name="_Toc128676487"/>
      <w:bookmarkStart w:id="49" w:name="_Toc8717"/>
      <w:r>
        <w:rPr>
          <w:rFonts w:hint="eastAsia" w:ascii="Times New Roman" w:eastAsia="宋体" w:cs="Times New Roman"/>
          <w:sz w:val="21"/>
          <w:szCs w:val="21"/>
          <w:vertAlign w:val="baseline"/>
          <w:lang w:val="en-US" w:eastAsia="zh-CN"/>
        </w:rPr>
        <w:t xml:space="preserve">  </w:t>
      </w:r>
      <w:r>
        <w:rPr>
          <w:rFonts w:hint="default" w:ascii="Times New Roman" w:hAnsi="Times New Roman" w:eastAsia="宋体" w:cs="Times New Roman"/>
          <w:sz w:val="21"/>
          <w:szCs w:val="21"/>
          <w:vertAlign w:val="baseline"/>
          <w:lang w:val="en-US" w:eastAsia="zh-CN"/>
        </w:rPr>
        <w:t>采样系统冲洗</w:t>
      </w:r>
      <w:bookmarkEnd w:id="48"/>
      <w:bookmarkEnd w:id="49"/>
    </w:p>
    <w:p>
      <w:pPr>
        <w:pageBreakBefore w:val="0"/>
        <w:kinsoku/>
        <w:wordWrap/>
        <w:overflowPunct w:val="0"/>
        <w:topLinePunct w:val="0"/>
        <w:autoSpaceDE w:val="0"/>
        <w:autoSpaceDN w:val="0"/>
        <w:bidi w:val="0"/>
        <w:adjustRightInd w:val="0"/>
        <w:spacing w:line="360" w:lineRule="auto"/>
        <w:ind w:firstLine="420" w:firstLineChars="200"/>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lang w:eastAsia="zh-Hans"/>
        </w:rPr>
        <w:t>首先</w:t>
      </w:r>
      <w:r>
        <w:rPr>
          <w:rFonts w:hint="default" w:ascii="Times New Roman" w:hAnsi="Times New Roman" w:eastAsia="宋体" w:cs="Times New Roman"/>
          <w:kern w:val="0"/>
          <w:sz w:val="21"/>
          <w:szCs w:val="21"/>
        </w:rPr>
        <w:t>启动采样泵，打开采样容器的进气口和出气口的密封旋塞。</w:t>
      </w:r>
      <w:r>
        <w:rPr>
          <w:rFonts w:hint="default" w:ascii="Times New Roman" w:hAnsi="Times New Roman" w:eastAsia="宋体" w:cs="Times New Roman"/>
          <w:kern w:val="0"/>
          <w:sz w:val="21"/>
          <w:szCs w:val="21"/>
          <w:lang w:eastAsia="zh-Hans"/>
        </w:rPr>
        <w:t>在</w:t>
      </w:r>
      <w:r>
        <w:rPr>
          <w:rFonts w:hint="default" w:ascii="Times New Roman" w:hAnsi="Times New Roman" w:eastAsia="宋体" w:cs="Times New Roman"/>
          <w:kern w:val="0"/>
          <w:sz w:val="21"/>
          <w:szCs w:val="21"/>
        </w:rPr>
        <w:t>采样系统气路完全</w:t>
      </w:r>
      <w:r>
        <w:rPr>
          <w:rFonts w:hint="default" w:ascii="Times New Roman" w:hAnsi="Times New Roman" w:eastAsia="宋体" w:cs="Times New Roman"/>
          <w:kern w:val="0"/>
          <w:sz w:val="21"/>
          <w:szCs w:val="21"/>
          <w:lang w:eastAsia="zh-Hans"/>
        </w:rPr>
        <w:t>开通情况下</w:t>
      </w:r>
      <w:r>
        <w:rPr>
          <w:rFonts w:hint="default" w:ascii="Times New Roman" w:hAnsi="Times New Roman" w:eastAsia="宋体" w:cs="Times New Roman"/>
          <w:kern w:val="0"/>
          <w:sz w:val="21"/>
          <w:szCs w:val="21"/>
        </w:rPr>
        <w:t>，在一定流速下（样品从采样口至采样容器的驻留时间不超过5 min）对采样容器和连接管路进行充分冲洗，冲洗体积一般不小于采样容器体积的10倍。</w:t>
      </w:r>
    </w:p>
    <w:p>
      <w:pPr>
        <w:pStyle w:val="54"/>
        <w:keepNext w:val="0"/>
        <w:keepLines w:val="0"/>
        <w:pageBreakBefore w:val="0"/>
        <w:widowControl/>
        <w:numPr>
          <w:ilvl w:val="0"/>
          <w:numId w:val="5"/>
        </w:numPr>
        <w:kinsoku/>
        <w:wordWrap/>
        <w:overflowPunct/>
        <w:topLinePunct w:val="0"/>
        <w:autoSpaceDE/>
        <w:autoSpaceDN/>
        <w:bidi w:val="0"/>
        <w:adjustRightInd/>
        <w:snapToGrid/>
        <w:spacing w:before="0" w:beforeLines="0" w:after="0" w:afterLines="0" w:line="360" w:lineRule="auto"/>
        <w:ind w:left="0" w:leftChars="0" w:firstLine="420" w:firstLineChars="200"/>
        <w:textAlignment w:val="auto"/>
        <w:rPr>
          <w:rFonts w:hint="default" w:ascii="Times New Roman" w:hAnsi="Times New Roman" w:eastAsia="宋体" w:cs="Times New Roman"/>
          <w:sz w:val="21"/>
          <w:szCs w:val="21"/>
          <w:vertAlign w:val="baseline"/>
          <w:lang w:val="en-US" w:eastAsia="zh-CN"/>
        </w:rPr>
      </w:pPr>
      <w:r>
        <w:rPr>
          <w:rFonts w:hint="eastAsia" w:ascii="Times New Roman" w:eastAsia="宋体" w:cs="Times New Roman"/>
          <w:sz w:val="21"/>
          <w:szCs w:val="21"/>
          <w:vertAlign w:val="baseline"/>
          <w:lang w:val="en-US" w:eastAsia="zh-CN"/>
        </w:rPr>
        <w:t xml:space="preserve">  </w:t>
      </w:r>
      <w:r>
        <w:rPr>
          <w:rFonts w:hint="default" w:ascii="Times New Roman" w:hAnsi="Times New Roman" w:eastAsia="宋体" w:cs="Times New Roman"/>
          <w:sz w:val="21"/>
          <w:szCs w:val="21"/>
          <w:vertAlign w:val="baseline"/>
          <w:lang w:val="en-US" w:eastAsia="zh-CN"/>
        </w:rPr>
        <w:t>样品采集</w:t>
      </w:r>
    </w:p>
    <w:p>
      <w:pPr>
        <w:pageBreakBefore w:val="0"/>
        <w:kinsoku/>
        <w:wordWrap/>
        <w:topLinePunct w:val="0"/>
        <w:autoSpaceDE w:val="0"/>
        <w:autoSpaceDN w:val="0"/>
        <w:bidi w:val="0"/>
        <w:adjustRightInd w:val="0"/>
        <w:spacing w:line="360" w:lineRule="auto"/>
        <w:ind w:firstLine="420"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冲洗</w:t>
      </w:r>
      <w:r>
        <w:rPr>
          <w:rFonts w:hint="default" w:ascii="Times New Roman" w:hAnsi="Times New Roman" w:eastAsia="宋体" w:cs="Times New Roman"/>
          <w:kern w:val="0"/>
          <w:sz w:val="21"/>
          <w:szCs w:val="21"/>
          <w:lang w:eastAsia="zh-Hans"/>
        </w:rPr>
        <w:t>结束</w:t>
      </w:r>
      <w:r>
        <w:rPr>
          <w:rFonts w:hint="default" w:ascii="Times New Roman" w:hAnsi="Times New Roman" w:eastAsia="宋体" w:cs="Times New Roman"/>
          <w:kern w:val="0"/>
          <w:sz w:val="21"/>
          <w:szCs w:val="21"/>
        </w:rPr>
        <w:t>后，关闭采样容器的出气口，利用采样泵将空气样品</w:t>
      </w:r>
      <w:r>
        <w:rPr>
          <w:rFonts w:hint="default" w:ascii="Times New Roman" w:hAnsi="Times New Roman" w:eastAsia="宋体" w:cs="Times New Roman"/>
          <w:kern w:val="0"/>
          <w:sz w:val="21"/>
          <w:szCs w:val="21"/>
          <w:lang w:eastAsia="zh-Hans"/>
        </w:rPr>
        <w:t>采集</w:t>
      </w:r>
      <w:r>
        <w:rPr>
          <w:rFonts w:hint="default" w:ascii="Times New Roman" w:hAnsi="Times New Roman" w:eastAsia="宋体" w:cs="Times New Roman"/>
          <w:kern w:val="0"/>
          <w:sz w:val="21"/>
          <w:szCs w:val="21"/>
        </w:rPr>
        <w:t>进采样容器。</w:t>
      </w:r>
      <w:r>
        <w:rPr>
          <w:rFonts w:hint="default" w:ascii="Times New Roman" w:hAnsi="Times New Roman" w:eastAsia="宋体" w:cs="Times New Roman"/>
          <w:sz w:val="21"/>
          <w:szCs w:val="21"/>
          <w:lang w:val="zh-CN"/>
        </w:rPr>
        <w:t>采样</w:t>
      </w:r>
      <w:r>
        <w:rPr>
          <w:rFonts w:hint="default" w:ascii="Times New Roman" w:hAnsi="Times New Roman" w:eastAsia="宋体" w:cs="Times New Roman"/>
          <w:kern w:val="0"/>
          <w:sz w:val="21"/>
          <w:szCs w:val="21"/>
        </w:rPr>
        <w:t>容器</w:t>
      </w:r>
      <w:r>
        <w:rPr>
          <w:rFonts w:hint="default" w:ascii="Times New Roman" w:hAnsi="Times New Roman" w:eastAsia="宋体" w:cs="Times New Roman"/>
          <w:sz w:val="21"/>
          <w:szCs w:val="21"/>
          <w:lang w:val="zh-CN"/>
        </w:rPr>
        <w:t>内气量达到预定量（根据采样容器体积及样品分析量的要求确定，</w:t>
      </w:r>
      <w:r>
        <w:rPr>
          <w:rFonts w:hint="default" w:ascii="Times New Roman" w:hAnsi="Times New Roman" w:eastAsia="宋体" w:cs="Times New Roman"/>
          <w:sz w:val="21"/>
          <w:szCs w:val="21"/>
        </w:rPr>
        <w:t>至少1.1倍大气压以上</w:t>
      </w:r>
      <w:r>
        <w:rPr>
          <w:rFonts w:hint="default" w:ascii="Times New Roman" w:hAnsi="Times New Roman" w:eastAsia="宋体" w:cs="Times New Roman"/>
          <w:sz w:val="21"/>
          <w:szCs w:val="21"/>
          <w:lang w:val="zh-CN"/>
        </w:rPr>
        <w:t>）后</w:t>
      </w:r>
      <w:r>
        <w:rPr>
          <w:rFonts w:hint="default" w:ascii="Times New Roman" w:hAnsi="Times New Roman" w:eastAsia="宋体" w:cs="Times New Roman"/>
          <w:kern w:val="0"/>
          <w:sz w:val="21"/>
          <w:szCs w:val="21"/>
        </w:rPr>
        <w:t>，关闭采样泵并立刻拧紧采样容器的进气口。</w:t>
      </w:r>
      <w:r>
        <w:rPr>
          <w:rFonts w:hint="default" w:ascii="Times New Roman" w:hAnsi="Times New Roman" w:eastAsia="宋体" w:cs="Times New Roman"/>
          <w:kern w:val="0"/>
          <w:sz w:val="21"/>
          <w:szCs w:val="21"/>
          <w:lang w:eastAsia="zh-Hans"/>
        </w:rPr>
        <w:t>从</w:t>
      </w:r>
      <w:r>
        <w:rPr>
          <w:rFonts w:hint="default" w:ascii="Times New Roman" w:hAnsi="Times New Roman" w:eastAsia="宋体" w:cs="Times New Roman"/>
          <w:kern w:val="0"/>
          <w:sz w:val="21"/>
          <w:szCs w:val="21"/>
        </w:rPr>
        <w:t>采样系统上</w:t>
      </w:r>
      <w:r>
        <w:rPr>
          <w:rFonts w:hint="default" w:ascii="Times New Roman" w:hAnsi="Times New Roman" w:eastAsia="宋体" w:cs="Times New Roman"/>
          <w:kern w:val="0"/>
          <w:sz w:val="21"/>
          <w:szCs w:val="21"/>
          <w:lang w:eastAsia="zh-Hans"/>
        </w:rPr>
        <w:t>卸下</w:t>
      </w:r>
      <w:r>
        <w:rPr>
          <w:rFonts w:hint="default" w:ascii="Times New Roman" w:hAnsi="Times New Roman" w:eastAsia="宋体" w:cs="Times New Roman"/>
          <w:kern w:val="0"/>
          <w:sz w:val="21"/>
          <w:szCs w:val="21"/>
        </w:rPr>
        <w:t>采样容器，标注样品标识，放回装运箱。样品采集时，应记录监测点位信息、采样设备运行状况、采样容器信息、采样时间、气象条件、人员信息、采样过程中的天气条件</w:t>
      </w:r>
      <w:r>
        <w:rPr>
          <w:rFonts w:hint="default" w:ascii="Times New Roman" w:hAnsi="Times New Roman" w:eastAsia="宋体" w:cs="Times New Roman"/>
          <w:kern w:val="0"/>
          <w:sz w:val="21"/>
          <w:szCs w:val="21"/>
          <w:lang w:eastAsia="zh-Hans"/>
        </w:rPr>
        <w:t>和</w:t>
      </w:r>
      <w:r>
        <w:rPr>
          <w:rFonts w:hint="default" w:ascii="Times New Roman" w:hAnsi="Times New Roman" w:eastAsia="宋体" w:cs="Times New Roman"/>
          <w:kern w:val="0"/>
          <w:sz w:val="21"/>
          <w:szCs w:val="21"/>
        </w:rPr>
        <w:t>污染活动等相关信息。气象参数包括采样点环境温度、气压和相对湿度，有条件</w:t>
      </w:r>
      <w:r>
        <w:rPr>
          <w:rFonts w:hint="default" w:ascii="Times New Roman" w:hAnsi="Times New Roman" w:eastAsia="宋体" w:cs="Times New Roman"/>
          <w:kern w:val="0"/>
          <w:sz w:val="21"/>
          <w:szCs w:val="21"/>
          <w:lang w:eastAsia="zh-Hans"/>
        </w:rPr>
        <w:t>的</w:t>
      </w:r>
      <w:r>
        <w:rPr>
          <w:rFonts w:hint="default" w:ascii="Times New Roman" w:hAnsi="Times New Roman" w:eastAsia="宋体" w:cs="Times New Roman"/>
          <w:kern w:val="0"/>
          <w:sz w:val="21"/>
          <w:szCs w:val="21"/>
        </w:rPr>
        <w:t>可</w:t>
      </w:r>
      <w:r>
        <w:rPr>
          <w:rFonts w:hint="default" w:ascii="Times New Roman" w:hAnsi="Times New Roman" w:eastAsia="宋体" w:cs="Times New Roman"/>
          <w:kern w:val="0"/>
          <w:sz w:val="21"/>
          <w:szCs w:val="21"/>
          <w:lang w:eastAsia="zh-Hans"/>
        </w:rPr>
        <w:t>观测</w:t>
      </w:r>
      <w:r>
        <w:rPr>
          <w:rFonts w:hint="default" w:ascii="Times New Roman" w:hAnsi="Times New Roman" w:eastAsia="宋体" w:cs="Times New Roman"/>
          <w:kern w:val="0"/>
          <w:sz w:val="21"/>
          <w:szCs w:val="21"/>
        </w:rPr>
        <w:t>风向和风速等气象参数，气象条件监测相关规范和要求参见HJ 194中相关规定。</w:t>
      </w:r>
    </w:p>
    <w:p>
      <w:pPr>
        <w:pageBreakBefore w:val="0"/>
        <w:kinsoku/>
        <w:wordWrap/>
        <w:topLinePunct w:val="0"/>
        <w:bidi w:val="0"/>
        <w:spacing w:line="36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.5.4.</w:t>
      </w:r>
      <w:bookmarkStart w:id="50" w:name="_Toc10604"/>
      <w:r>
        <w:rPr>
          <w:rFonts w:hint="default" w:ascii="Times New Roman" w:hAnsi="Times New Roman" w:eastAsia="宋体" w:cs="Times New Roman"/>
          <w:sz w:val="21"/>
          <w:szCs w:val="21"/>
          <w:lang w:val="en-US" w:eastAsia="zh-CN"/>
        </w:rPr>
        <w:t>样品保存和运输</w:t>
      </w:r>
      <w:bookmarkEnd w:id="50"/>
    </w:p>
    <w:p>
      <w:pPr>
        <w:pStyle w:val="39"/>
        <w:pageBreakBefore w:val="0"/>
        <w:kinsoku/>
        <w:wordWrap/>
        <w:topLinePunct w:val="0"/>
        <w:bidi w:val="0"/>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采样容器</w:t>
      </w:r>
      <w:r>
        <w:rPr>
          <w:rFonts w:hint="default" w:ascii="Times New Roman" w:hAnsi="Times New Roman" w:eastAsia="宋体" w:cs="Times New Roman"/>
          <w:kern w:val="0"/>
          <w:sz w:val="21"/>
          <w:szCs w:val="21"/>
          <w:lang w:eastAsia="zh-Hans"/>
        </w:rPr>
        <w:t>在</w:t>
      </w:r>
      <w:r>
        <w:rPr>
          <w:rFonts w:hint="default" w:ascii="Times New Roman" w:hAnsi="Times New Roman" w:eastAsia="宋体" w:cs="Times New Roman"/>
          <w:kern w:val="0"/>
          <w:sz w:val="21"/>
          <w:szCs w:val="21"/>
        </w:rPr>
        <w:t>采集样品后</w:t>
      </w:r>
      <w:r>
        <w:rPr>
          <w:rFonts w:hint="default" w:ascii="Times New Roman" w:hAnsi="Times New Roman" w:eastAsia="宋体" w:cs="Times New Roman"/>
          <w:kern w:val="0"/>
          <w:sz w:val="21"/>
          <w:szCs w:val="21"/>
          <w:lang w:eastAsia="zh-Hans"/>
        </w:rPr>
        <w:t>在</w:t>
      </w:r>
      <w:r>
        <w:rPr>
          <w:rFonts w:hint="default" w:ascii="Times New Roman" w:hAnsi="Times New Roman" w:eastAsia="宋体" w:cs="Times New Roman"/>
          <w:kern w:val="0"/>
          <w:sz w:val="21"/>
          <w:szCs w:val="21"/>
        </w:rPr>
        <w:t>常温条件下保存和运输。运输过程中应</w:t>
      </w:r>
      <w:r>
        <w:rPr>
          <w:rFonts w:hint="default" w:ascii="Times New Roman" w:hAnsi="Times New Roman" w:eastAsia="宋体" w:cs="Times New Roman"/>
          <w:kern w:val="0"/>
          <w:sz w:val="21"/>
          <w:szCs w:val="21"/>
          <w:lang w:eastAsia="zh-Hans"/>
        </w:rPr>
        <w:t>避免</w:t>
      </w:r>
      <w:r>
        <w:rPr>
          <w:rFonts w:hint="default" w:ascii="Times New Roman" w:hAnsi="Times New Roman" w:eastAsia="宋体" w:cs="Times New Roman"/>
          <w:kern w:val="0"/>
          <w:sz w:val="21"/>
          <w:szCs w:val="21"/>
        </w:rPr>
        <w:t>磕碰、泄漏和污染，</w:t>
      </w:r>
      <w:r>
        <w:rPr>
          <w:rFonts w:hint="default" w:ascii="Times New Roman" w:hAnsi="Times New Roman" w:eastAsia="宋体" w:cs="Times New Roman"/>
          <w:kern w:val="0"/>
          <w:sz w:val="21"/>
          <w:szCs w:val="21"/>
          <w:lang w:eastAsia="zh-Hans"/>
        </w:rPr>
        <w:t>样品应尽快</w:t>
      </w:r>
      <w:r>
        <w:rPr>
          <w:rFonts w:hint="default" w:ascii="Times New Roman" w:hAnsi="Times New Roman" w:eastAsia="宋体" w:cs="Times New Roman"/>
          <w:kern w:val="0"/>
          <w:sz w:val="21"/>
          <w:szCs w:val="21"/>
        </w:rPr>
        <w:t>送至实验室，</w:t>
      </w:r>
      <w:r>
        <w:rPr>
          <w:rFonts w:hint="default" w:ascii="Times New Roman" w:hAnsi="Times New Roman" w:eastAsia="宋体" w:cs="Times New Roman"/>
          <w:kern w:val="0"/>
          <w:sz w:val="21"/>
          <w:szCs w:val="21"/>
          <w:lang w:val="en-US" w:eastAsia="zh-CN"/>
        </w:rPr>
        <w:t>气袋采样样品应在</w:t>
      </w:r>
      <w:r>
        <w:rPr>
          <w:rFonts w:hint="eastAsia" w:ascii="Times New Roman" w:cs="Times New Roman"/>
          <w:kern w:val="0"/>
          <w:sz w:val="21"/>
          <w:szCs w:val="21"/>
          <w:lang w:val="en-US" w:eastAsia="zh-CN"/>
        </w:rPr>
        <w:t>3</w:t>
      </w:r>
      <w:r>
        <w:rPr>
          <w:rFonts w:hint="default" w:ascii="Times New Roman" w:hAnsi="Times New Roman" w:eastAsia="宋体" w:cs="Times New Roman"/>
          <w:kern w:val="0"/>
          <w:sz w:val="21"/>
          <w:szCs w:val="21"/>
          <w:lang w:val="en-US" w:eastAsia="zh-CN"/>
        </w:rPr>
        <w:t>天内完成制样，瓶</w:t>
      </w:r>
      <w:r>
        <w:rPr>
          <w:rFonts w:hint="default" w:ascii="Times New Roman" w:hAnsi="Times New Roman" w:eastAsia="宋体" w:cs="Times New Roman"/>
          <w:kern w:val="0"/>
          <w:sz w:val="21"/>
          <w:szCs w:val="21"/>
        </w:rPr>
        <w:t>采样</w:t>
      </w:r>
      <w:r>
        <w:rPr>
          <w:rFonts w:hint="default" w:ascii="Times New Roman" w:hAnsi="Times New Roman" w:eastAsia="宋体" w:cs="Times New Roman"/>
          <w:kern w:val="0"/>
          <w:sz w:val="21"/>
          <w:szCs w:val="21"/>
          <w:lang w:val="en-US" w:eastAsia="zh-CN"/>
        </w:rPr>
        <w:t>样品应在</w:t>
      </w:r>
      <w:r>
        <w:rPr>
          <w:rFonts w:hint="default" w:ascii="Times New Roman" w:hAnsi="Times New Roman" w:eastAsia="宋体" w:cs="Times New Roman"/>
          <w:kern w:val="0"/>
          <w:sz w:val="21"/>
          <w:szCs w:val="21"/>
        </w:rPr>
        <w:t>15 天内完成制样。</w:t>
      </w:r>
    </w:p>
    <w:p>
      <w:pPr>
        <w:pageBreakBefore w:val="0"/>
        <w:kinsoku/>
        <w:wordWrap/>
        <w:topLinePunct w:val="0"/>
        <w:bidi w:val="0"/>
        <w:spacing w:line="36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.5.5 样品前处理</w:t>
      </w:r>
    </w:p>
    <w:p>
      <w:pPr>
        <w:pageBreakBefore w:val="0"/>
        <w:kinsoku/>
        <w:wordWrap/>
        <w:topLinePunct w:val="0"/>
        <w:bidi w:val="0"/>
        <w:spacing w:line="360" w:lineRule="auto"/>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.5.5.1</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实验前准备</w:t>
      </w:r>
    </w:p>
    <w:p>
      <w:pPr>
        <w:pageBreakBefore w:val="0"/>
        <w:kinsoku/>
        <w:wordWrap/>
        <w:topLinePunct w:val="0"/>
        <w:autoSpaceDE w:val="0"/>
        <w:autoSpaceDN w:val="0"/>
        <w:bidi w:val="0"/>
        <w:adjustRightInd w:val="0"/>
        <w:spacing w:line="360" w:lineRule="auto"/>
        <w:ind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 大气CO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 xml:space="preserve">浓度的测定 </w:t>
      </w:r>
    </w:p>
    <w:p>
      <w:pPr>
        <w:pageBreakBefore w:val="0"/>
        <w:kinsoku/>
        <w:wordWrap/>
        <w:topLinePunct w:val="0"/>
        <w:autoSpaceDE w:val="0"/>
        <w:autoSpaceDN w:val="0"/>
        <w:bidi w:val="0"/>
        <w:adjustRightInd w:val="0"/>
        <w:spacing w:line="360" w:lineRule="auto"/>
        <w:ind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样品分析前，根据实验室的仪器配置情况，选择光腔衰荡光谱、离轴积分腔输出光谱、气相色谱、非色散红外光谱等方法</w:t>
      </w:r>
      <w:r>
        <w:rPr>
          <w:rFonts w:hint="default" w:ascii="Times New Roman" w:hAnsi="Times New Roman" w:eastAsia="宋体" w:cs="Times New Roman"/>
          <w:kern w:val="0"/>
          <w:sz w:val="21"/>
          <w:szCs w:val="21"/>
          <w:lang w:val="en-US" w:eastAsia="zh-CN"/>
        </w:rPr>
        <w:t>对</w:t>
      </w:r>
      <w:r>
        <w:rPr>
          <w:rFonts w:hint="default" w:ascii="Times New Roman" w:hAnsi="Times New Roman" w:eastAsia="宋体" w:cs="Times New Roman"/>
          <w:kern w:val="0"/>
          <w:sz w:val="21"/>
          <w:szCs w:val="21"/>
        </w:rPr>
        <w:t>同一样品CO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浓度的准确测定。测定前需检查采样容器压力，确认采样容器密封性良好。</w:t>
      </w:r>
      <w:r>
        <w:rPr>
          <w:rFonts w:hint="default" w:ascii="Times New Roman" w:hAnsi="Times New Roman" w:eastAsia="宋体" w:cs="Times New Roman"/>
          <w:kern w:val="0"/>
          <w:sz w:val="21"/>
          <w:szCs w:val="21"/>
          <w:lang w:val="en-US" w:eastAsia="zh-CN"/>
        </w:rPr>
        <w:t>目前</w:t>
      </w:r>
      <w:r>
        <w:rPr>
          <w:rFonts w:hint="default" w:ascii="Times New Roman" w:hAnsi="Times New Roman" w:eastAsia="宋体" w:cs="Times New Roman"/>
          <w:kern w:val="0"/>
          <w:sz w:val="21"/>
          <w:szCs w:val="21"/>
        </w:rPr>
        <w:t>CO</w:t>
      </w:r>
      <w:r>
        <w:rPr>
          <w:rFonts w:hint="default" w:ascii="Times New Roman" w:hAnsi="Times New Roman" w:eastAsia="宋体" w:cs="Times New Roman"/>
          <w:kern w:val="0"/>
          <w:sz w:val="21"/>
          <w:szCs w:val="21"/>
          <w:vertAlign w:val="subscript"/>
        </w:rPr>
        <w:t>2</w:t>
      </w:r>
      <w:r>
        <w:rPr>
          <w:rFonts w:hint="default" w:ascii="Times New Roman" w:hAnsi="Times New Roman" w:eastAsia="宋体" w:cs="Times New Roman"/>
          <w:kern w:val="0"/>
          <w:sz w:val="21"/>
          <w:szCs w:val="21"/>
        </w:rPr>
        <w:t>浓度的测定</w:t>
      </w:r>
      <w:r>
        <w:rPr>
          <w:rFonts w:hint="default" w:ascii="Times New Roman" w:hAnsi="Times New Roman" w:eastAsia="宋体" w:cs="Times New Roman"/>
          <w:kern w:val="0"/>
          <w:sz w:val="21"/>
          <w:szCs w:val="21"/>
          <w:lang w:val="en-US" w:eastAsia="zh-CN"/>
        </w:rPr>
        <w:t>方法有</w:t>
      </w:r>
      <w:r>
        <w:rPr>
          <w:rFonts w:hint="default" w:ascii="Times New Roman" w:hAnsi="Times New Roman" w:eastAsia="宋体" w:cs="Times New Roman"/>
          <w:kern w:val="0"/>
          <w:sz w:val="21"/>
          <w:szCs w:val="21"/>
        </w:rPr>
        <w:t>光腔衰荡光谱法、离轴积分腔输出光谱法、气相色谱法、非色散红外光谱法</w:t>
      </w:r>
      <w:r>
        <w:rPr>
          <w:rFonts w:hint="default" w:ascii="Times New Roman" w:hAnsi="Times New Roman" w:eastAsia="宋体" w:cs="Times New Roman"/>
          <w:kern w:val="0"/>
          <w:sz w:val="21"/>
          <w:szCs w:val="21"/>
          <w:lang w:val="en-US" w:eastAsia="zh-CN"/>
        </w:rPr>
        <w:t>等，这些测试</w:t>
      </w:r>
      <w:r>
        <w:rPr>
          <w:rFonts w:hint="default" w:ascii="Times New Roman" w:hAnsi="Times New Roman" w:eastAsia="宋体" w:cs="Times New Roman"/>
          <w:kern w:val="0"/>
          <w:sz w:val="21"/>
          <w:szCs w:val="21"/>
        </w:rPr>
        <w:t>原理的实验室分析仪器性能应满足下列标准中的分析仪器指标要求。其他原理的仪器应满足相应的标准要求。</w:t>
      </w:r>
    </w:p>
    <w:p>
      <w:pPr>
        <w:pageBreakBefore w:val="0"/>
        <w:kinsoku/>
        <w:wordWrap/>
        <w:topLinePunct w:val="0"/>
        <w:autoSpaceDE w:val="0"/>
        <w:autoSpaceDN w:val="0"/>
        <w:bidi w:val="0"/>
        <w:adjustRightInd w:val="0"/>
        <w:spacing w:line="360" w:lineRule="auto"/>
        <w:ind w:leftChars="200"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1)光腔衰荡光谱法，参考GB/T 34415；</w:t>
      </w:r>
    </w:p>
    <w:p>
      <w:pPr>
        <w:pageBreakBefore w:val="0"/>
        <w:kinsoku/>
        <w:wordWrap/>
        <w:topLinePunct w:val="0"/>
        <w:autoSpaceDE w:val="0"/>
        <w:autoSpaceDN w:val="0"/>
        <w:bidi w:val="0"/>
        <w:adjustRightInd w:val="0"/>
        <w:spacing w:line="360" w:lineRule="auto"/>
        <w:ind w:leftChars="200"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2)离轴积分腔输出光谱法，参考GB/T 34286；</w:t>
      </w:r>
    </w:p>
    <w:p>
      <w:pPr>
        <w:pageBreakBefore w:val="0"/>
        <w:kinsoku/>
        <w:wordWrap/>
        <w:topLinePunct w:val="0"/>
        <w:autoSpaceDE w:val="0"/>
        <w:autoSpaceDN w:val="0"/>
        <w:bidi w:val="0"/>
        <w:adjustRightInd w:val="0"/>
        <w:spacing w:line="360" w:lineRule="auto"/>
        <w:ind w:leftChars="200"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3)气相色谱法，参考GB/T 31705；</w:t>
      </w:r>
    </w:p>
    <w:p>
      <w:pPr>
        <w:pageBreakBefore w:val="0"/>
        <w:kinsoku/>
        <w:wordWrap/>
        <w:topLinePunct w:val="0"/>
        <w:autoSpaceDE w:val="0"/>
        <w:autoSpaceDN w:val="0"/>
        <w:bidi w:val="0"/>
        <w:adjustRightInd w:val="0"/>
        <w:spacing w:line="360" w:lineRule="auto"/>
        <w:ind w:leftChars="200"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4)非色散红外光谱法，参考QX/T 67。</w:t>
      </w:r>
    </w:p>
    <w:p>
      <w:pPr>
        <w:kinsoku w:val="0"/>
        <w:overflowPunct w:val="0"/>
        <w:autoSpaceDE w:val="0"/>
        <w:autoSpaceDN w:val="0"/>
        <w:adjustRightInd w:val="0"/>
        <w:ind w:firstLine="420" w:firstLineChars="200"/>
        <w:jc w:val="left"/>
        <w:rPr>
          <w:rFonts w:hint="default" w:ascii="Times New Roman" w:hAnsi="Times New Roman" w:eastAsia="宋体" w:cs="Times New Roman"/>
          <w:kern w:val="0"/>
          <w:sz w:val="21"/>
          <w:szCs w:val="21"/>
          <w:lang w:val="en-US" w:eastAsia="zh-CN"/>
        </w:rPr>
      </w:pPr>
      <w:r>
        <w:rPr>
          <w:rStyle w:val="59"/>
          <w:rFonts w:hint="default" w:ascii="Times New Roman" w:hAnsi="Times New Roman" w:cs="Times New Roman"/>
          <w:sz w:val="21"/>
          <w:szCs w:val="21"/>
          <w:highlight w:val="none"/>
          <w:lang w:val="en-US" w:eastAsia="zh-CN"/>
        </w:rPr>
        <w:t>采样点位有CO</w:t>
      </w:r>
      <w:r>
        <w:rPr>
          <w:rStyle w:val="59"/>
          <w:rFonts w:hint="default" w:ascii="Times New Roman" w:hAnsi="Times New Roman" w:cs="Times New Roman"/>
          <w:sz w:val="21"/>
          <w:szCs w:val="21"/>
          <w:highlight w:val="none"/>
          <w:vertAlign w:val="subscript"/>
          <w:lang w:val="en-US" w:eastAsia="zh-CN"/>
        </w:rPr>
        <w:t>2</w:t>
      </w:r>
      <w:r>
        <w:rPr>
          <w:rStyle w:val="59"/>
          <w:rFonts w:hint="default" w:ascii="Times New Roman" w:hAnsi="Times New Roman" w:cs="Times New Roman"/>
          <w:sz w:val="21"/>
          <w:szCs w:val="21"/>
          <w:highlight w:val="none"/>
          <w:lang w:val="en-US" w:eastAsia="zh-CN"/>
        </w:rPr>
        <w:t>自动监测设备的，</w:t>
      </w:r>
      <w:r>
        <w:rPr>
          <w:rStyle w:val="59"/>
          <w:rFonts w:hint="default" w:ascii="Times New Roman" w:hAnsi="Times New Roman" w:cs="Times New Roman"/>
          <w:sz w:val="21"/>
          <w:szCs w:val="21"/>
          <w:highlight w:val="none"/>
        </w:rPr>
        <w:t>可采用样品采集时同步自动监测的</w:t>
      </w:r>
      <w:r>
        <w:rPr>
          <w:rStyle w:val="50"/>
          <w:rFonts w:eastAsia="宋体"/>
          <w:sz w:val="21"/>
          <w:szCs w:val="21"/>
          <w:highlight w:val="none"/>
        </w:rPr>
        <w:t>CO</w:t>
      </w:r>
      <w:r>
        <w:rPr>
          <w:rStyle w:val="50"/>
          <w:rFonts w:eastAsia="宋体"/>
          <w:sz w:val="21"/>
          <w:szCs w:val="21"/>
          <w:highlight w:val="none"/>
          <w:vertAlign w:val="subscript"/>
        </w:rPr>
        <w:t>2</w:t>
      </w:r>
      <w:r>
        <w:rPr>
          <w:rStyle w:val="59"/>
          <w:rFonts w:hint="default" w:ascii="Times New Roman" w:hAnsi="Times New Roman" w:cs="Times New Roman"/>
          <w:sz w:val="21"/>
          <w:szCs w:val="21"/>
          <w:highlight w:val="none"/>
        </w:rPr>
        <w:t>浓度数据。</w:t>
      </w:r>
    </w:p>
    <w:p>
      <w:pPr>
        <w:pageBreakBefore w:val="0"/>
        <w:kinsoku/>
        <w:wordWrap/>
        <w:topLinePunct w:val="0"/>
        <w:autoSpaceDE w:val="0"/>
        <w:autoSpaceDN w:val="0"/>
        <w:bidi w:val="0"/>
        <w:adjustRightInd w:val="0"/>
        <w:spacing w:line="360" w:lineRule="auto"/>
        <w:ind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测定结果以干空气的摩尔分数（µmol/mol ）计，小数点后保留一位有效位数。</w:t>
      </w:r>
    </w:p>
    <w:p>
      <w:pPr>
        <w:pageBreakBefore w:val="0"/>
        <w:numPr>
          <w:ilvl w:val="0"/>
          <w:numId w:val="0"/>
        </w:numPr>
        <w:kinsoku/>
        <w:wordWrap/>
        <w:topLinePunct w:val="0"/>
        <w:autoSpaceDE w:val="0"/>
        <w:autoSpaceDN w:val="0"/>
        <w:bidi w:val="0"/>
        <w:adjustRightInd w:val="0"/>
        <w:spacing w:line="360" w:lineRule="auto"/>
        <w:ind w:leftChars="20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w:t>
      </w:r>
      <w:r>
        <w:rPr>
          <w:rFonts w:hint="eastAsia" w:ascii="Times New Roman" w:hAnsi="Times New Roman" w:eastAsia="宋体" w:cs="Times New Roman"/>
          <w:kern w:val="0"/>
          <w:sz w:val="21"/>
          <w:szCs w:val="21"/>
          <w:lang w:val="en-US" w:eastAsia="zh-CN"/>
        </w:rPr>
        <w:t xml:space="preserve">   </w:t>
      </w:r>
      <w:r>
        <w:rPr>
          <w:rFonts w:hint="default" w:ascii="Times New Roman" w:hAnsi="Times New Roman" w:eastAsia="宋体" w:cs="Times New Roman"/>
          <w:kern w:val="0"/>
          <w:sz w:val="21"/>
          <w:szCs w:val="21"/>
          <w:lang w:val="en-US" w:eastAsia="zh-CN"/>
        </w:rPr>
        <w:t>除水冷阱制备</w:t>
      </w:r>
    </w:p>
    <w:p>
      <w:pPr>
        <w:pageBreakBefore w:val="0"/>
        <w:kinsoku/>
        <w:wordWrap/>
        <w:topLinePunct w:val="0"/>
        <w:autoSpaceDE w:val="0"/>
        <w:autoSpaceDN w:val="0"/>
        <w:bidi w:val="0"/>
        <w:adjustRightInd w:val="0"/>
        <w:spacing w:line="360" w:lineRule="auto"/>
        <w:ind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液氮-乙醇冷阱：根据低温温度仪读数，利用液氮将乙醇调温至-90℃～-78℃左右备用。除水冷阱是进行气体样品去除水蒸气的重要一环。</w:t>
      </w:r>
    </w:p>
    <w:p>
      <w:pPr>
        <w:pageBreakBefore w:val="0"/>
        <w:numPr>
          <w:ilvl w:val="0"/>
          <w:numId w:val="0"/>
        </w:numPr>
        <w:kinsoku/>
        <w:wordWrap/>
        <w:topLinePunct w:val="0"/>
        <w:autoSpaceDE w:val="0"/>
        <w:autoSpaceDN w:val="0"/>
        <w:bidi w:val="0"/>
        <w:adjustRightInd w:val="0"/>
        <w:spacing w:line="360" w:lineRule="auto"/>
        <w:ind w:left="845" w:leftChars="0" w:hanging="425"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bidi="ar-SA"/>
        </w:rPr>
        <w:t xml:space="preserve">3. </w:t>
      </w:r>
      <w:r>
        <w:rPr>
          <w:rFonts w:hint="eastAsia" w:ascii="Times New Roman" w:hAnsi="Times New Roman" w:eastAsia="宋体" w:cs="Times New Roman"/>
          <w:kern w:val="0"/>
          <w:sz w:val="21"/>
          <w:szCs w:val="21"/>
          <w:lang w:val="en-US" w:eastAsia="zh-CN" w:bidi="ar-SA"/>
        </w:rPr>
        <w:t xml:space="preserve"> </w:t>
      </w:r>
      <w:r>
        <w:rPr>
          <w:rFonts w:hint="default" w:ascii="Times New Roman" w:hAnsi="Times New Roman" w:eastAsia="宋体" w:cs="Times New Roman"/>
          <w:kern w:val="0"/>
          <w:sz w:val="21"/>
          <w:szCs w:val="21"/>
          <w:lang w:val="en-US" w:eastAsia="zh-CN"/>
        </w:rPr>
        <w:t>大气CO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样品分离纯化</w:t>
      </w:r>
    </w:p>
    <w:p>
      <w:pPr>
        <w:pageBreakBefore w:val="0"/>
        <w:kinsoku/>
        <w:wordWrap/>
        <w:topLinePunct w:val="0"/>
        <w:autoSpaceDE w:val="0"/>
        <w:autoSpaceDN w:val="0"/>
        <w:bidi w:val="0"/>
        <w:adjustRightInd w:val="0"/>
        <w:spacing w:line="360" w:lineRule="auto"/>
        <w:ind w:firstLine="420" w:firstLineChars="0"/>
        <w:jc w:val="left"/>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纯化系统在高真空（&lt; 10-5 torr）下，将采集的大气样品导入真空纯化系统，样品经过低温液氮冷阱（-196℃），其中的CO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、H</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O被冷冻，其他杂质气体通过真空管道抽出系统；随后在除水冷阱（-90℃～-78℃）将样品中的CO2释放同时冷冻H</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O，纯化的CO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气体通过管道转移到测量区域时再次经过液氮冷阱将CO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冷冻，同时通过压力表显示的读数，根据压力差计算CO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含量，并使用收集器收集释放的纯CO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。CO</w:t>
      </w:r>
      <w:r>
        <w:rPr>
          <w:rFonts w:hint="default" w:ascii="Times New Roman" w:hAnsi="Times New Roman" w:eastAsia="宋体" w:cs="Times New Roman"/>
          <w:kern w:val="0"/>
          <w:sz w:val="21"/>
          <w:szCs w:val="21"/>
          <w:vertAlign w:val="subscript"/>
          <w:lang w:val="en-US" w:eastAsia="zh-CN"/>
        </w:rPr>
        <w:t>2</w:t>
      </w:r>
      <w:r>
        <w:rPr>
          <w:rFonts w:hint="default" w:ascii="Times New Roman" w:hAnsi="Times New Roman" w:eastAsia="宋体" w:cs="Times New Roman"/>
          <w:kern w:val="0"/>
          <w:sz w:val="21"/>
          <w:szCs w:val="21"/>
          <w:lang w:val="en-US" w:eastAsia="zh-CN"/>
        </w:rPr>
        <w:t>纯化系统的基本原理构造原理见图2，给系统可由实验室自主设计，也可购置一体化设备。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0"/>
        <w:jc w:val="center"/>
        <w:textAlignment w:val="auto"/>
        <w:rPr>
          <w:rFonts w:hint="default" w:ascii="Times New Roman" w:hAnsi="Times New Roman" w:eastAsia="宋体" w:cs="Times New Roman"/>
          <w:kern w:val="0"/>
          <w:sz w:val="24"/>
          <w:szCs w:val="24"/>
        </w:rPr>
      </w:pPr>
      <w:r>
        <w:drawing>
          <wp:inline distT="0" distB="0" distL="114300" distR="114300">
            <wp:extent cx="5266690" cy="2542540"/>
            <wp:effectExtent l="0" t="0" r="10160" b="10160"/>
            <wp:docPr id="1"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true"/>
                    </pic:cNvPicPr>
                  </pic:nvPicPr>
                  <pic:blipFill>
                    <a:blip r:embed="rId20"/>
                    <a:srcRect b="22302"/>
                    <a:stretch>
                      <a:fillRect/>
                    </a:stretch>
                  </pic:blipFill>
                  <pic:spPr>
                    <a:xfrm>
                      <a:off x="0" y="0"/>
                      <a:ext cx="5266690" cy="2542540"/>
                    </a:xfrm>
                    <a:prstGeom prst="rect">
                      <a:avLst/>
                    </a:prstGeom>
                    <a:noFill/>
                    <a:ln>
                      <a:noFill/>
                    </a:ln>
                  </pic:spPr>
                </pic:pic>
              </a:graphicData>
            </a:graphic>
          </wp:inline>
        </w:drawing>
      </w:r>
      <w:r>
        <w:rPr>
          <w:rFonts w:hint="default" w:ascii="Times New Roman" w:hAnsi="Times New Roman" w:eastAsia="宋体" w:cs="Times New Roman"/>
          <w:kern w:val="0"/>
          <w:sz w:val="24"/>
          <w:szCs w:val="24"/>
        </w:rPr>
        <w:t xml:space="preserve">图 </w:t>
      </w:r>
      <w:r>
        <w:rPr>
          <w:rFonts w:hint="default" w:ascii="Times New Roman" w:hAnsi="Times New Roman" w:eastAsia="宋体" w:cs="Times New Roman"/>
          <w:kern w:val="0"/>
          <w:sz w:val="24"/>
          <w:szCs w:val="24"/>
          <w:lang w:val="en-US" w:eastAsia="zh-CN"/>
        </w:rPr>
        <w:t>2</w:t>
      </w:r>
      <w:r>
        <w:rPr>
          <w:rFonts w:hint="default" w:ascii="Times New Roman" w:hAnsi="Times New Roman" w:eastAsia="宋体" w:cs="Times New Roman"/>
          <w:kern w:val="0"/>
          <w:sz w:val="24"/>
          <w:szCs w:val="24"/>
        </w:rPr>
        <w:t xml:space="preserve"> 大气 </w:t>
      </w:r>
      <w:r>
        <w:rPr>
          <w:rFonts w:hint="default" w:ascii="Times New Roman" w:hAnsi="Times New Roman" w:eastAsia="宋体" w:cs="Times New Roman"/>
          <w:kern w:val="0"/>
          <w:sz w:val="24"/>
          <w:szCs w:val="24"/>
          <w:vertAlign w:val="superscript"/>
        </w:rPr>
        <w:t>14</w:t>
      </w:r>
      <w:r>
        <w:rPr>
          <w:rFonts w:hint="default" w:ascii="Times New Roman" w:hAnsi="Times New Roman" w:eastAsia="宋体" w:cs="Times New Roman"/>
          <w:kern w:val="0"/>
          <w:sz w:val="24"/>
          <w:szCs w:val="24"/>
        </w:rPr>
        <w:t>C（CO</w:t>
      </w:r>
      <w:r>
        <w:rPr>
          <w:rFonts w:hint="default" w:ascii="Times New Roman" w:hAnsi="Times New Roman" w:eastAsia="宋体" w:cs="Times New Roman"/>
          <w:kern w:val="0"/>
          <w:sz w:val="24"/>
          <w:szCs w:val="24"/>
          <w:vertAlign w:val="subscript"/>
        </w:rPr>
        <w:t>2</w:t>
      </w:r>
      <w:r>
        <w:rPr>
          <w:rFonts w:hint="default" w:ascii="Times New Roman" w:hAnsi="Times New Roman" w:eastAsia="宋体" w:cs="Times New Roman"/>
          <w:kern w:val="0"/>
          <w:sz w:val="24"/>
          <w:szCs w:val="24"/>
        </w:rPr>
        <w:t>）纯化系统示意图</w:t>
      </w:r>
    </w:p>
    <w:p>
      <w:pPr>
        <w:keepNext w:val="0"/>
        <w:keepLines w:val="0"/>
        <w:pageBreakBefore w:val="0"/>
        <w:widowControl w:val="0"/>
        <w:kinsoku/>
        <w:wordWrap/>
        <w:overflowPunct/>
        <w:topLinePunct w:val="0"/>
        <w:bidi w:val="0"/>
        <w:snapToGrid/>
        <w:spacing w:line="240" w:lineRule="auto"/>
        <w:ind w:firstLine="420"/>
        <w:jc w:val="center"/>
        <w:textAlignment w:val="auto"/>
        <w:rPr>
          <w:rFonts w:hint="default" w:ascii="Times New Roman" w:hAnsi="Times New Roman" w:eastAsia="宋体" w:cs="Times New Roman"/>
          <w:kern w:val="0"/>
          <w:sz w:val="18"/>
          <w:szCs w:val="18"/>
        </w:rPr>
      </w:pPr>
      <w:r>
        <w:rPr>
          <w:rFonts w:hint="default" w:ascii="Times New Roman" w:hAnsi="Times New Roman" w:eastAsia="宋体" w:cs="Times New Roman"/>
          <w:kern w:val="0"/>
          <w:sz w:val="18"/>
          <w:szCs w:val="18"/>
        </w:rPr>
        <w:t>1.气体样品；2.针阀；3.气体质量流量控制器；4. -1~-4，三通或四通连接件；5. -1~ -5，金属阀门；6. -1~-5，玻璃阀门；7.除水冷阱；8. -1~-2，液氮冷阱；9. -1~-2，CO</w:t>
      </w:r>
      <w:r>
        <w:rPr>
          <w:rFonts w:hint="default" w:ascii="Times New Roman" w:hAnsi="Times New Roman" w:eastAsia="宋体" w:cs="Times New Roman"/>
          <w:kern w:val="0"/>
          <w:sz w:val="18"/>
          <w:szCs w:val="18"/>
          <w:vertAlign w:val="subscript"/>
        </w:rPr>
        <w:t>2</w:t>
      </w:r>
      <w:r>
        <w:rPr>
          <w:rFonts w:hint="default" w:ascii="Times New Roman" w:hAnsi="Times New Roman" w:eastAsia="宋体" w:cs="Times New Roman"/>
          <w:kern w:val="0"/>
          <w:sz w:val="18"/>
          <w:szCs w:val="18"/>
        </w:rPr>
        <w:t xml:space="preserve"> 分压收集器/石墨合成管；10.测量气体压力 CO</w:t>
      </w:r>
      <w:r>
        <w:rPr>
          <w:rFonts w:hint="default" w:ascii="Times New Roman" w:hAnsi="Times New Roman" w:eastAsia="宋体" w:cs="Times New Roman"/>
          <w:kern w:val="0"/>
          <w:sz w:val="18"/>
          <w:szCs w:val="18"/>
          <w:vertAlign w:val="subscript"/>
        </w:rPr>
        <w:t xml:space="preserve">2 </w:t>
      </w:r>
      <w:r>
        <w:rPr>
          <w:rFonts w:hint="default" w:ascii="Times New Roman" w:hAnsi="Times New Roman" w:eastAsia="宋体" w:cs="Times New Roman"/>
          <w:kern w:val="0"/>
          <w:sz w:val="18"/>
          <w:szCs w:val="18"/>
        </w:rPr>
        <w:t>收集处；11.微压力计；12.真空计；13.真空泵；14.锌还原法反应装置。</w:t>
      </w:r>
    </w:p>
    <w:p>
      <w:pPr>
        <w:pageBreakBefore w:val="0"/>
        <w:numPr>
          <w:ilvl w:val="0"/>
          <w:numId w:val="0"/>
        </w:numPr>
        <w:kinsoku/>
        <w:wordWrap/>
        <w:topLinePunct w:val="0"/>
        <w:autoSpaceDE w:val="0"/>
        <w:autoSpaceDN w:val="0"/>
        <w:bidi w:val="0"/>
        <w:adjustRightInd w:val="0"/>
        <w:spacing w:line="360" w:lineRule="auto"/>
        <w:ind w:left="845" w:leftChars="0" w:hanging="425" w:firstLineChars="0"/>
        <w:jc w:val="left"/>
        <w:textAlignment w:val="auto"/>
        <w:rPr>
          <w:rFonts w:hint="default" w:ascii="Times New Roman" w:hAnsi="Times New Roman" w:eastAsia="宋体" w:cs="Times New Roman"/>
          <w:kern w:val="0"/>
          <w:sz w:val="21"/>
          <w:szCs w:val="21"/>
          <w:lang w:val="en-US" w:eastAsia="zh-CN" w:bidi="ar-SA"/>
        </w:rPr>
      </w:pPr>
      <w:bookmarkStart w:id="51" w:name="_Toc16497"/>
      <w:bookmarkStart w:id="52" w:name="_Toc128676492"/>
      <w:bookmarkStart w:id="53" w:name="_Toc18518"/>
      <w:r>
        <w:rPr>
          <w:rFonts w:hint="default" w:ascii="Times New Roman" w:hAnsi="Times New Roman" w:eastAsia="宋体" w:cs="Times New Roman"/>
          <w:kern w:val="0"/>
          <w:sz w:val="21"/>
          <w:szCs w:val="21"/>
          <w:lang w:val="en-US" w:eastAsia="zh-CN" w:bidi="ar-SA"/>
        </w:rPr>
        <w:t>4.</w:t>
      </w:r>
      <w:r>
        <w:rPr>
          <w:rFonts w:hint="eastAsia" w:ascii="Times New Roman" w:hAnsi="Times New Roman" w:eastAsia="宋体" w:cs="Times New Roman"/>
          <w:kern w:val="0"/>
          <w:sz w:val="21"/>
          <w:szCs w:val="21"/>
          <w:lang w:val="en-US" w:eastAsia="zh-CN" w:bidi="ar-SA"/>
        </w:rPr>
        <w:t xml:space="preserve">  </w:t>
      </w:r>
      <w:r>
        <w:rPr>
          <w:rFonts w:hint="default" w:ascii="Times New Roman" w:hAnsi="Times New Roman" w:eastAsia="宋体" w:cs="Times New Roman"/>
          <w:kern w:val="0"/>
          <w:sz w:val="21"/>
          <w:szCs w:val="21"/>
          <w:lang w:val="en-US" w:eastAsia="zh-CN" w:bidi="ar-SA"/>
        </w:rPr>
        <w:t>大气CO</w:t>
      </w:r>
      <w:r>
        <w:rPr>
          <w:rFonts w:hint="default" w:ascii="Times New Roman" w:hAnsi="Times New Roman" w:eastAsia="宋体" w:cs="Times New Roman"/>
          <w:kern w:val="0"/>
          <w:sz w:val="21"/>
          <w:szCs w:val="21"/>
          <w:vertAlign w:val="subscript"/>
          <w:lang w:val="en-US" w:eastAsia="zh-CN" w:bidi="ar-SA"/>
        </w:rPr>
        <w:t>2</w:t>
      </w:r>
      <w:r>
        <w:rPr>
          <w:rFonts w:hint="default" w:ascii="Times New Roman" w:hAnsi="Times New Roman" w:eastAsia="宋体" w:cs="Times New Roman"/>
          <w:kern w:val="0"/>
          <w:sz w:val="21"/>
          <w:szCs w:val="21"/>
          <w:lang w:val="en-US" w:eastAsia="zh-CN" w:bidi="ar-SA"/>
        </w:rPr>
        <w:t>样品石墨化</w:t>
      </w:r>
      <w:bookmarkEnd w:id="51"/>
      <w:bookmarkEnd w:id="52"/>
      <w:bookmarkEnd w:id="53"/>
    </w:p>
    <w:p>
      <w:pPr>
        <w:pStyle w:val="39"/>
        <w:pageBreakBefore w:val="0"/>
        <w:kinsoku/>
        <w:wordWrap/>
        <w:topLinePunct w:val="0"/>
        <w:bidi w:val="0"/>
        <w:spacing w:line="360" w:lineRule="auto"/>
        <w:textAlignment w:val="auto"/>
        <w:rPr>
          <w:rFonts w:hint="default" w:ascii="Times New Roman" w:hAnsi="Times New Roman" w:eastAsia="宋体" w:cs="Times New Roman"/>
          <w:szCs w:val="21"/>
        </w:rPr>
      </w:pPr>
      <w:r>
        <w:rPr>
          <w:rFonts w:hint="default" w:ascii="Times New Roman" w:hAnsi="Times New Roman" w:eastAsia="宋体" w:cs="Times New Roman"/>
        </w:rPr>
        <w:t>锌还原法是将大气CO</w:t>
      </w:r>
      <w:r>
        <w:rPr>
          <w:rFonts w:hint="default" w:ascii="Times New Roman" w:hAnsi="Times New Roman" w:eastAsia="宋体" w:cs="Times New Roman"/>
          <w:vertAlign w:val="subscript"/>
        </w:rPr>
        <w:t>2</w:t>
      </w:r>
      <w:r>
        <w:rPr>
          <w:rFonts w:hint="default" w:ascii="Times New Roman" w:hAnsi="Times New Roman" w:eastAsia="宋体" w:cs="Times New Roman"/>
          <w:szCs w:val="21"/>
        </w:rPr>
        <w:t>收集管</w:t>
      </w:r>
      <w:r>
        <w:rPr>
          <w:rFonts w:hint="default" w:ascii="Times New Roman" w:hAnsi="Times New Roman" w:eastAsia="宋体" w:cs="Times New Roman"/>
        </w:rPr>
        <w:t>与还原反应装置</w:t>
      </w:r>
      <w:r>
        <w:rPr>
          <w:rFonts w:hint="default" w:ascii="Times New Roman" w:hAnsi="Times New Roman" w:eastAsia="宋体" w:cs="Times New Roman"/>
          <w:lang w:eastAsia="zh-Hans"/>
        </w:rPr>
        <w:t>相</w:t>
      </w:r>
      <w:r>
        <w:rPr>
          <w:rFonts w:hint="default" w:ascii="Times New Roman" w:hAnsi="Times New Roman" w:eastAsia="宋体" w:cs="Times New Roman"/>
        </w:rPr>
        <w:t>连接，</w:t>
      </w:r>
      <w:r>
        <w:rPr>
          <w:rFonts w:hint="default" w:ascii="Times New Roman" w:hAnsi="Times New Roman" w:eastAsia="宋体" w:cs="Times New Roman"/>
          <w:lang w:eastAsia="zh-Hans"/>
        </w:rPr>
        <w:t>使用</w:t>
      </w:r>
      <w:r>
        <w:rPr>
          <w:rFonts w:hint="default" w:ascii="Times New Roman" w:hAnsi="Times New Roman" w:eastAsia="宋体" w:cs="Times New Roman"/>
        </w:rPr>
        <w:t>电炉对还原反应管</w:t>
      </w:r>
      <w:r>
        <w:rPr>
          <w:rFonts w:hint="default" w:ascii="Times New Roman" w:hAnsi="Times New Roman" w:eastAsia="宋体" w:cs="Times New Roman"/>
          <w:lang w:eastAsia="zh-Hans"/>
        </w:rPr>
        <w:t>进行</w:t>
      </w:r>
      <w:r>
        <w:rPr>
          <w:rFonts w:hint="default" w:ascii="Times New Roman" w:hAnsi="Times New Roman" w:eastAsia="宋体" w:cs="Times New Roman"/>
        </w:rPr>
        <w:t>加热，使纯化的CO</w:t>
      </w:r>
      <w:r>
        <w:rPr>
          <w:rFonts w:hint="default" w:ascii="Times New Roman" w:hAnsi="Times New Roman" w:eastAsia="宋体" w:cs="Times New Roman"/>
          <w:vertAlign w:val="subscript"/>
        </w:rPr>
        <w:t>2</w:t>
      </w:r>
      <w:r>
        <w:rPr>
          <w:rFonts w:hint="default" w:ascii="Times New Roman" w:hAnsi="Times New Roman" w:eastAsia="宋体" w:cs="Times New Roman"/>
        </w:rPr>
        <w:t>气体与Zn</w:t>
      </w:r>
      <w:r>
        <w:rPr>
          <w:rFonts w:hint="default" w:ascii="Times New Roman" w:hAnsi="Times New Roman" w:eastAsia="宋体" w:cs="Times New Roman"/>
          <w:lang w:eastAsia="zh-Hans"/>
        </w:rPr>
        <w:t>粒</w:t>
      </w:r>
      <w:r>
        <w:rPr>
          <w:rFonts w:hint="default" w:ascii="Times New Roman" w:hAnsi="Times New Roman" w:eastAsia="宋体" w:cs="Times New Roman"/>
        </w:rPr>
        <w:t>管中的Zn</w:t>
      </w:r>
      <w:r>
        <w:rPr>
          <w:rFonts w:hint="default" w:ascii="Times New Roman" w:hAnsi="Times New Roman" w:eastAsia="宋体" w:cs="Times New Roman"/>
          <w:lang w:eastAsia="zh-Hans"/>
        </w:rPr>
        <w:t>粒</w:t>
      </w:r>
      <w:r>
        <w:rPr>
          <w:rFonts w:hint="default" w:ascii="Times New Roman" w:hAnsi="Times New Roman" w:eastAsia="宋体" w:cs="Times New Roman"/>
        </w:rPr>
        <w:t>加热生成CO，然后在Fe粉管中与Fe粉表面发生还原反应，</w:t>
      </w:r>
      <w:r>
        <w:rPr>
          <w:rFonts w:hint="default" w:ascii="Times New Roman" w:hAnsi="Times New Roman" w:eastAsia="宋体" w:cs="Times New Roman"/>
          <w:lang w:eastAsia="zh-Hans"/>
        </w:rPr>
        <w:t>将CO</w:t>
      </w:r>
      <w:r>
        <w:rPr>
          <w:rFonts w:hint="default" w:ascii="Times New Roman" w:hAnsi="Times New Roman" w:eastAsia="宋体" w:cs="Times New Roman"/>
          <w:vertAlign w:val="subscript"/>
          <w:lang w:eastAsia="zh-Hans"/>
        </w:rPr>
        <w:t>2</w:t>
      </w:r>
      <w:r>
        <w:rPr>
          <w:rFonts w:hint="default" w:ascii="Times New Roman" w:hAnsi="Times New Roman" w:eastAsia="宋体" w:cs="Times New Roman"/>
          <w:lang w:eastAsia="zh-Hans"/>
        </w:rPr>
        <w:t>还原成石墨，</w:t>
      </w:r>
      <w:r>
        <w:rPr>
          <w:rFonts w:hint="default" w:ascii="Times New Roman" w:hAnsi="Times New Roman" w:eastAsia="宋体" w:cs="Times New Roman"/>
        </w:rPr>
        <w:t>附着在Fe粉表面。</w:t>
      </w:r>
      <w:r>
        <w:rPr>
          <w:rFonts w:hint="default" w:ascii="Times New Roman" w:hAnsi="Times New Roman" w:eastAsia="宋体" w:cs="Times New Roman"/>
          <w:lang w:bidi="ar"/>
        </w:rPr>
        <w:t>氢还原</w:t>
      </w:r>
      <w:r>
        <w:rPr>
          <w:rFonts w:hint="default" w:ascii="Times New Roman" w:hAnsi="Times New Roman" w:eastAsia="宋体" w:cs="Times New Roman"/>
          <w:lang w:eastAsia="zh-Hans" w:bidi="ar"/>
        </w:rPr>
        <w:t>法是</w:t>
      </w:r>
      <w:r>
        <w:rPr>
          <w:rFonts w:hint="default" w:ascii="Times New Roman" w:hAnsi="Times New Roman" w:eastAsia="宋体" w:cs="Times New Roman"/>
          <w:lang w:bidi="ar"/>
        </w:rPr>
        <w:t>将纯化好的CO</w:t>
      </w:r>
      <w:r>
        <w:rPr>
          <w:rFonts w:hint="default" w:ascii="Times New Roman" w:hAnsi="Times New Roman" w:eastAsia="宋体" w:cs="Times New Roman"/>
          <w:vertAlign w:val="subscript"/>
          <w:lang w:bidi="ar"/>
        </w:rPr>
        <w:t>2</w:t>
      </w:r>
      <w:r>
        <w:rPr>
          <w:rFonts w:hint="default" w:ascii="Times New Roman" w:hAnsi="Times New Roman" w:eastAsia="宋体" w:cs="Times New Roman"/>
          <w:lang w:bidi="ar"/>
        </w:rPr>
        <w:t>气体用液氮冷阱转移入已放入</w:t>
      </w:r>
      <w:r>
        <w:rPr>
          <w:rFonts w:hint="default" w:ascii="Times New Roman" w:hAnsi="Times New Roman" w:eastAsia="宋体" w:cs="Times New Roman"/>
        </w:rPr>
        <w:t>Fe粉</w:t>
      </w:r>
      <w:r>
        <w:rPr>
          <w:rFonts w:hint="default" w:ascii="Times New Roman" w:hAnsi="Times New Roman" w:eastAsia="宋体" w:cs="Times New Roman"/>
          <w:lang w:bidi="ar"/>
        </w:rPr>
        <w:t>并预抽真空的石英玻璃管回路中，混入一定比例的H</w:t>
      </w:r>
      <w:r>
        <w:rPr>
          <w:rFonts w:hint="default" w:ascii="Times New Roman" w:hAnsi="Times New Roman" w:eastAsia="宋体" w:cs="Times New Roman"/>
          <w:vertAlign w:val="subscript"/>
          <w:lang w:bidi="ar"/>
        </w:rPr>
        <w:t>2</w:t>
      </w:r>
      <w:r>
        <w:rPr>
          <w:rFonts w:hint="default" w:ascii="Times New Roman" w:hAnsi="Times New Roman" w:eastAsia="宋体" w:cs="Times New Roman"/>
          <w:lang w:bidi="ar"/>
        </w:rPr>
        <w:t>，进行加热催化反应，石墨会在Fe表面形成。</w:t>
      </w:r>
      <w:r>
        <w:rPr>
          <w:rFonts w:hint="default" w:ascii="Times New Roman" w:hAnsi="Times New Roman" w:eastAsia="宋体" w:cs="Times New Roman"/>
          <w:szCs w:val="21"/>
        </w:rPr>
        <w:t>石墨化反应结束后，小心取出生成的石墨，</w:t>
      </w:r>
      <w:r>
        <w:rPr>
          <w:rFonts w:hint="default" w:ascii="Times New Roman" w:hAnsi="Times New Roman" w:eastAsia="宋体" w:cs="Times New Roman"/>
          <w:szCs w:val="21"/>
          <w:lang w:eastAsia="zh-Hans"/>
        </w:rPr>
        <w:t>并将其</w:t>
      </w:r>
      <w:r>
        <w:rPr>
          <w:rFonts w:hint="default" w:ascii="Times New Roman" w:hAnsi="Times New Roman" w:eastAsia="宋体" w:cs="Times New Roman"/>
          <w:szCs w:val="21"/>
        </w:rPr>
        <w:t>转移至压靶机中压实，待使用加速器质谱仪</w:t>
      </w:r>
      <w:r>
        <w:rPr>
          <w:rFonts w:hint="default" w:ascii="Times New Roman" w:hAnsi="Times New Roman" w:eastAsia="宋体" w:cs="Times New Roman"/>
          <w:szCs w:val="21"/>
          <w:lang w:eastAsia="zh-Hans"/>
        </w:rPr>
        <w:t>进行</w:t>
      </w:r>
      <w:r>
        <w:rPr>
          <w:rFonts w:hint="default" w:ascii="Times New Roman" w:hAnsi="Times New Roman" w:eastAsia="宋体" w:cs="Times New Roman"/>
          <w:szCs w:val="21"/>
        </w:rPr>
        <w:t>测定。</w:t>
      </w:r>
    </w:p>
    <w:p>
      <w:pPr>
        <w:pageBreakBefore w:val="0"/>
        <w:kinsoku/>
        <w:wordWrap/>
        <w:topLinePunct w:val="0"/>
        <w:bidi w:val="0"/>
        <w:spacing w:line="360" w:lineRule="auto"/>
        <w:textAlignment w:val="auto"/>
        <w:rPr>
          <w:rFonts w:hint="default" w:ascii="Times New Roman" w:hAnsi="Times New Roman" w:eastAsia="宋体" w:cs="Times New Roman"/>
          <w:lang w:val="en-US" w:eastAsia="zh-CN"/>
        </w:rPr>
      </w:pPr>
      <w:bookmarkStart w:id="54" w:name="_Toc30553"/>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.5.6分析测试</w:t>
      </w:r>
      <w:bookmarkEnd w:id="54"/>
    </w:p>
    <w:p>
      <w:pPr>
        <w:pageBreakBefore w:val="0"/>
        <w:kinsoku/>
        <w:wordWrap/>
        <w:topLinePunct w:val="0"/>
        <w:bidi w:val="0"/>
        <w:spacing w:line="360" w:lineRule="auto"/>
        <w:textAlignment w:val="auto"/>
        <w:rPr>
          <w:rFonts w:hint="default" w:ascii="Times New Roman" w:hAnsi="Times New Roman" w:eastAsia="宋体" w:cs="Times New Roman"/>
          <w:lang w:val="en-US" w:eastAsia="zh-CN"/>
        </w:rPr>
      </w:pPr>
      <w:bookmarkStart w:id="55" w:name="_Toc128676494"/>
      <w:bookmarkStart w:id="56" w:name="_Toc29413"/>
      <w:bookmarkStart w:id="57" w:name="_Toc9865"/>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.5.6.1 加速器质谱测定要求</w:t>
      </w:r>
      <w:bookmarkEnd w:id="55"/>
      <w:bookmarkEnd w:id="56"/>
      <w:bookmarkEnd w:id="57"/>
    </w:p>
    <w:p>
      <w:pPr>
        <w:pageBreakBefore w:val="0"/>
        <w:kinsoku/>
        <w:wordWrap/>
        <w:overflowPunct w:val="0"/>
        <w:topLinePunct w:val="0"/>
        <w:autoSpaceDE w:val="0"/>
        <w:autoSpaceDN w:val="0"/>
        <w:bidi w:val="0"/>
        <w:adjustRightInd w:val="0"/>
        <w:spacing w:line="360" w:lineRule="auto"/>
        <w:ind w:firstLine="420" w:firstLineChars="200"/>
        <w:textAlignment w:val="auto"/>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大气</w:t>
      </w:r>
      <w:r>
        <w:rPr>
          <w:rFonts w:hint="default" w:ascii="Times New Roman" w:hAnsi="Times New Roman" w:eastAsia="宋体" w:cs="Times New Roman"/>
          <w:kern w:val="0"/>
          <w:szCs w:val="21"/>
          <w:vertAlign w:val="superscript"/>
        </w:rPr>
        <w:t>14</w:t>
      </w:r>
      <w:r>
        <w:rPr>
          <w:rFonts w:hint="default" w:ascii="Times New Roman" w:hAnsi="Times New Roman" w:eastAsia="宋体" w:cs="Times New Roman"/>
          <w:kern w:val="0"/>
          <w:szCs w:val="21"/>
        </w:rPr>
        <w:t>CO</w:t>
      </w:r>
      <w:r>
        <w:rPr>
          <w:rFonts w:hint="default" w:ascii="Times New Roman" w:hAnsi="Times New Roman" w:eastAsia="宋体" w:cs="Times New Roman"/>
          <w:kern w:val="0"/>
          <w:szCs w:val="21"/>
          <w:vertAlign w:val="subscript"/>
        </w:rPr>
        <w:t>2</w:t>
      </w:r>
      <w:r>
        <w:rPr>
          <w:rFonts w:hint="default" w:ascii="Times New Roman" w:hAnsi="Times New Roman" w:eastAsia="宋体" w:cs="Times New Roman"/>
          <w:kern w:val="0"/>
          <w:szCs w:val="21"/>
        </w:rPr>
        <w:t xml:space="preserve"> AMS 测量，需要按表1要求插入主标样、次级标样</w:t>
      </w:r>
      <w:r>
        <w:rPr>
          <w:rFonts w:hint="default" w:ascii="Times New Roman" w:hAnsi="Times New Roman" w:eastAsia="宋体" w:cs="Times New Roman"/>
          <w:kern w:val="0"/>
          <w:szCs w:val="21"/>
          <w:lang w:eastAsia="zh-Hans"/>
        </w:rPr>
        <w:t>与</w:t>
      </w:r>
      <w:r>
        <w:rPr>
          <w:rFonts w:hint="default" w:ascii="Times New Roman" w:hAnsi="Times New Roman" w:eastAsia="宋体" w:cs="Times New Roman"/>
          <w:kern w:val="0"/>
          <w:szCs w:val="21"/>
        </w:rPr>
        <w:t>本底样品。当靶盘为30个时，每批次样品测定时，主标样为6个，</w:t>
      </w:r>
      <w:r>
        <w:rPr>
          <w:rFonts w:hint="default" w:ascii="Times New Roman" w:hAnsi="Times New Roman" w:eastAsia="宋体" w:cs="Times New Roman"/>
          <w:kern w:val="0"/>
          <w:szCs w:val="21"/>
          <w:lang w:eastAsia="zh-Hans"/>
        </w:rPr>
        <w:t>次级</w:t>
      </w:r>
      <w:r>
        <w:rPr>
          <w:rFonts w:hint="default" w:ascii="Times New Roman" w:hAnsi="Times New Roman" w:eastAsia="宋体" w:cs="Times New Roman"/>
          <w:kern w:val="0"/>
          <w:szCs w:val="21"/>
        </w:rPr>
        <w:t>标样为1～2个，</w:t>
      </w:r>
      <w:r>
        <w:rPr>
          <w:rFonts w:hint="default" w:ascii="Times New Roman" w:hAnsi="Times New Roman" w:eastAsia="宋体" w:cs="Times New Roman"/>
          <w:kern w:val="0"/>
          <w:szCs w:val="21"/>
          <w:lang w:eastAsia="zh-Hans"/>
        </w:rPr>
        <w:t>本底</w:t>
      </w:r>
      <w:r>
        <w:rPr>
          <w:rFonts w:hint="default" w:ascii="Times New Roman" w:hAnsi="Times New Roman" w:eastAsia="宋体" w:cs="Times New Roman"/>
          <w:kern w:val="0"/>
          <w:szCs w:val="21"/>
        </w:rPr>
        <w:t>样品为</w:t>
      </w:r>
      <w:r>
        <w:rPr>
          <w:rFonts w:hint="default" w:ascii="Times New Roman" w:hAnsi="Times New Roman" w:eastAsia="宋体" w:cs="Times New Roman"/>
          <w:kern w:val="0"/>
          <w:szCs w:val="21"/>
          <w:lang w:eastAsia="zh-Hans"/>
        </w:rPr>
        <w:t>2个。</w:t>
      </w:r>
      <w:r>
        <w:rPr>
          <w:rFonts w:hint="default" w:ascii="Times New Roman" w:hAnsi="Times New Roman" w:eastAsia="宋体" w:cs="Times New Roman"/>
          <w:kern w:val="0"/>
          <w:szCs w:val="21"/>
        </w:rPr>
        <w:t>对于一个城市的样品，可以采取一段时间（如一个季度）集中测量的模式，选择在AMS仪器性能稳定的时期进行测量，避免因仪器状况波动产生的不利影响。</w:t>
      </w:r>
    </w:p>
    <w:p>
      <w:pPr>
        <w:pageBreakBefore w:val="0"/>
        <w:kinsoku/>
        <w:wordWrap/>
        <w:topLinePunct w:val="0"/>
        <w:bidi w:val="0"/>
        <w:spacing w:line="360" w:lineRule="auto"/>
        <w:jc w:val="center"/>
        <w:textAlignment w:val="auto"/>
        <w:rPr>
          <w:rFonts w:hint="default"/>
        </w:rPr>
      </w:pPr>
      <w:bookmarkStart w:id="58" w:name="_Toc1922"/>
      <w:bookmarkStart w:id="59" w:name="_Toc14823"/>
      <w:r>
        <w:rPr>
          <w:rFonts w:hint="default" w:ascii="Times New Roman" w:hAnsi="Times New Roman" w:eastAsia="宋体" w:cs="Times New Roman"/>
        </w:rPr>
        <w:t>表1 大气</w:t>
      </w:r>
      <w:r>
        <w:rPr>
          <w:rFonts w:hint="default" w:ascii="Times New Roman" w:hAnsi="Times New Roman" w:eastAsia="宋体" w:cs="Times New Roman"/>
          <w:vertAlign w:val="superscript"/>
        </w:rPr>
        <w:t>14</w:t>
      </w:r>
      <w:r>
        <w:rPr>
          <w:rFonts w:hint="default" w:ascii="Times New Roman" w:hAnsi="Times New Roman" w:eastAsia="宋体" w:cs="Times New Roman"/>
        </w:rPr>
        <w:t>CO</w:t>
      </w:r>
      <w:r>
        <w:rPr>
          <w:rFonts w:hint="default" w:ascii="Times New Roman" w:hAnsi="Times New Roman" w:eastAsia="宋体" w:cs="Times New Roman"/>
          <w:vertAlign w:val="subscript"/>
        </w:rPr>
        <w:t>2</w:t>
      </w:r>
      <w:r>
        <w:rPr>
          <w:rFonts w:hint="default" w:ascii="Times New Roman" w:hAnsi="Times New Roman" w:eastAsia="宋体" w:cs="Times New Roman"/>
        </w:rPr>
        <w:t xml:space="preserve"> AMS 测量时，每批次样品中样品与</w:t>
      </w:r>
      <w:r>
        <w:rPr>
          <w:rFonts w:hint="eastAsia" w:ascii="宋体" w:hAnsi="宋体" w:eastAsia="宋体" w:cs="宋体"/>
        </w:rPr>
        <w:t>标样配比</w:t>
      </w:r>
      <w:bookmarkEnd w:id="58"/>
      <w:bookmarkEnd w:id="59"/>
    </w:p>
    <w:tbl>
      <w:tblPr>
        <w:tblStyle w:val="17"/>
        <w:tblW w:w="41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34"/>
        <w:gridCol w:w="977"/>
        <w:gridCol w:w="2550"/>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1490"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标样分类</w:t>
            </w:r>
          </w:p>
        </w:tc>
        <w:tc>
          <w:tcPr>
            <w:tcW w:w="715"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主标样</w:t>
            </w:r>
          </w:p>
        </w:tc>
        <w:tc>
          <w:tcPr>
            <w:tcW w:w="1867"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次级标样</w:t>
            </w:r>
          </w:p>
        </w:tc>
        <w:tc>
          <w:tcPr>
            <w:tcW w:w="926"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本底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jc w:val="center"/>
        </w:trPr>
        <w:tc>
          <w:tcPr>
            <w:tcW w:w="1490"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标样名称</w:t>
            </w:r>
          </w:p>
        </w:tc>
        <w:tc>
          <w:tcPr>
            <w:tcW w:w="715"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OXII</w:t>
            </w:r>
          </w:p>
        </w:tc>
        <w:tc>
          <w:tcPr>
            <w:tcW w:w="1867"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CSC</w:t>
            </w:r>
          </w:p>
        </w:tc>
        <w:tc>
          <w:tcPr>
            <w:tcW w:w="926"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490"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每批次标样数量</w:t>
            </w:r>
          </w:p>
        </w:tc>
        <w:tc>
          <w:tcPr>
            <w:tcW w:w="715"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867"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926" w:type="pct"/>
            <w:noWrap w:val="0"/>
            <w:vAlign w:val="center"/>
          </w:tcPr>
          <w:p>
            <w:pPr>
              <w:pStyle w:val="55"/>
              <w:keepNext w:val="0"/>
              <w:keepLines w:val="0"/>
              <w:pageBreakBefore w:val="0"/>
              <w:widowControl w:val="0"/>
              <w:kinsoku/>
              <w:wordWrap/>
              <w:overflowPunct w:val="0"/>
              <w:topLinePunct w:val="0"/>
              <w:autoSpaceDE w:val="0"/>
              <w:autoSpaceDN w:val="0"/>
              <w:bidi w:val="0"/>
              <w:adjustRightInd w:val="0"/>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bl>
    <w:p>
      <w:pPr>
        <w:pageBreakBefore w:val="0"/>
        <w:kinsoku/>
        <w:wordWrap/>
        <w:overflowPunct w:val="0"/>
        <w:topLinePunct w:val="0"/>
        <w:autoSpaceDE w:val="0"/>
        <w:autoSpaceDN w:val="0"/>
        <w:bidi w:val="0"/>
        <w:adjustRightInd w:val="0"/>
        <w:jc w:val="center"/>
        <w:textAlignment w:val="auto"/>
        <w:rPr>
          <w:rFonts w:hint="default" w:ascii="Times New Roman" w:hAnsi="Times New Roman" w:eastAsia="宋体" w:cs="Times New Roman"/>
          <w:bCs/>
          <w:kern w:val="0"/>
          <w:sz w:val="18"/>
          <w:szCs w:val="18"/>
        </w:rPr>
      </w:pPr>
    </w:p>
    <w:p>
      <w:pPr>
        <w:keepNext w:val="0"/>
        <w:keepLines w:val="0"/>
        <w:pageBreakBefore w:val="0"/>
        <w:widowControl w:val="0"/>
        <w:kinsoku/>
        <w:wordWrap/>
        <w:topLinePunct w:val="0"/>
        <w:bidi w:val="0"/>
        <w:snapToGrid/>
        <w:spacing w:line="240" w:lineRule="auto"/>
        <w:textAlignment w:val="auto"/>
        <w:rPr>
          <w:rFonts w:hint="default" w:ascii="Times New Roman" w:hAnsi="Times New Roman" w:eastAsia="宋体" w:cs="Times New Roman"/>
          <w:lang w:val="en-US" w:eastAsia="zh-CN"/>
        </w:rPr>
      </w:pPr>
      <w:bookmarkStart w:id="60" w:name="_Toc10403"/>
      <w:bookmarkStart w:id="61" w:name="_Toc28521"/>
      <w:bookmarkStart w:id="62" w:name="_Toc128676496"/>
      <w:r>
        <w:rPr>
          <w:rFonts w:hint="eastAsia" w:ascii="Times New Roman" w:hAnsi="Times New Roman" w:eastAsia="宋体" w:cs="Times New Roman"/>
          <w:lang w:val="en-US" w:eastAsia="zh-CN"/>
        </w:rPr>
        <w:t>7</w:t>
      </w:r>
      <w:r>
        <w:rPr>
          <w:rFonts w:hint="default" w:ascii="Times New Roman" w:hAnsi="Times New Roman" w:eastAsia="宋体" w:cs="Times New Roman"/>
          <w:lang w:val="en-US" w:eastAsia="zh-CN"/>
        </w:rPr>
        <w:t>.5.6.2结果计算与表示</w:t>
      </w:r>
      <w:bookmarkEnd w:id="60"/>
      <w:bookmarkEnd w:id="61"/>
      <w:bookmarkEnd w:id="62"/>
    </w:p>
    <w:p>
      <w:pPr>
        <w:keepNext w:val="0"/>
        <w:keepLines w:val="0"/>
        <w:pageBreakBefore w:val="0"/>
        <w:widowControl w:val="0"/>
        <w:kinsoku/>
        <w:wordWrap/>
        <w:overflowPunct w:val="0"/>
        <w:topLinePunct w:val="0"/>
        <w:autoSpaceDE w:val="0"/>
        <w:autoSpaceDN w:val="0"/>
        <w:bidi w:val="0"/>
        <w:adjustRightInd w:val="0"/>
        <w:snapToGrid/>
        <w:spacing w:before="150" w:line="240" w:lineRule="auto"/>
        <w:ind w:firstLine="420"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vertAlign w:val="superscript"/>
        </w:rPr>
        <w:t>14</w:t>
      </w:r>
      <w:r>
        <w:rPr>
          <w:rFonts w:hint="default" w:ascii="Times New Roman" w:hAnsi="Times New Roman" w:eastAsia="宋体" w:cs="Times New Roman"/>
          <w:kern w:val="0"/>
          <w:sz w:val="21"/>
          <w:szCs w:val="21"/>
        </w:rPr>
        <w:t>C数据针对不同的测试对象和用途有不同的报道形式。</w:t>
      </w:r>
      <w:r>
        <w:rPr>
          <w:rFonts w:hint="default" w:ascii="Times New Roman" w:hAnsi="Times New Roman" w:eastAsia="宋体" w:cs="Times New Roman"/>
          <w:kern w:val="0"/>
          <w:sz w:val="21"/>
          <w:szCs w:val="21"/>
          <w:lang w:eastAsia="zh-Hans"/>
        </w:rPr>
        <w:t>对于</w:t>
      </w:r>
      <w:r>
        <w:rPr>
          <w:rFonts w:hint="default" w:ascii="Times New Roman" w:hAnsi="Times New Roman" w:eastAsia="宋体" w:cs="Times New Roman"/>
          <w:kern w:val="0"/>
          <w:sz w:val="21"/>
          <w:szCs w:val="21"/>
        </w:rPr>
        <w:t>大气</w:t>
      </w:r>
      <w:r>
        <w:rPr>
          <w:rFonts w:hint="default" w:ascii="Times New Roman" w:hAnsi="Times New Roman" w:eastAsia="宋体" w:cs="Times New Roman"/>
          <w:kern w:val="0"/>
          <w:sz w:val="21"/>
          <w:szCs w:val="21"/>
          <w:vertAlign w:val="superscript"/>
        </w:rPr>
        <w:t>14</w:t>
      </w:r>
      <w:r>
        <w:rPr>
          <w:rFonts w:hint="default" w:ascii="Times New Roman" w:hAnsi="Times New Roman" w:eastAsia="宋体" w:cs="Times New Roman"/>
          <w:kern w:val="0"/>
          <w:sz w:val="21"/>
          <w:szCs w:val="21"/>
        </w:rPr>
        <w:t>CO2，有以下两种报道形式，</w:t>
      </w:r>
      <w:r>
        <w:rPr>
          <w:rFonts w:hint="default" w:ascii="Times New Roman" w:hAnsi="Times New Roman" w:eastAsia="宋体" w:cs="Times New Roman"/>
          <w:kern w:val="0"/>
          <w:position w:val="2"/>
          <w:sz w:val="21"/>
          <w:szCs w:val="21"/>
        </w:rPr>
        <w:t>F</w:t>
      </w:r>
      <w:r>
        <w:rPr>
          <w:rFonts w:hint="default" w:ascii="Times New Roman" w:hAnsi="Times New Roman" w:eastAsia="宋体" w:cs="Times New Roman"/>
          <w:kern w:val="0"/>
          <w:sz w:val="21"/>
          <w:szCs w:val="21"/>
        </w:rPr>
        <w:t xml:space="preserve">m </w:t>
      </w:r>
      <w:r>
        <w:rPr>
          <w:rFonts w:hint="default" w:ascii="Times New Roman" w:hAnsi="Times New Roman" w:eastAsia="宋体" w:cs="Times New Roman"/>
          <w:kern w:val="0"/>
          <w:position w:val="2"/>
          <w:sz w:val="21"/>
          <w:szCs w:val="21"/>
        </w:rPr>
        <w:t>和∆</w:t>
      </w:r>
      <w:r>
        <w:rPr>
          <w:rFonts w:hint="default" w:ascii="Times New Roman" w:hAnsi="Times New Roman" w:eastAsia="宋体" w:cs="Times New Roman"/>
          <w:kern w:val="0"/>
          <w:position w:val="2"/>
          <w:sz w:val="21"/>
          <w:szCs w:val="21"/>
          <w:vertAlign w:val="superscript"/>
        </w:rPr>
        <w:t>14</w:t>
      </w:r>
      <w:r>
        <w:rPr>
          <w:rFonts w:hint="default" w:ascii="Times New Roman" w:hAnsi="Times New Roman" w:eastAsia="宋体" w:cs="Times New Roman"/>
          <w:kern w:val="0"/>
          <w:position w:val="2"/>
          <w:sz w:val="21"/>
          <w:szCs w:val="21"/>
        </w:rPr>
        <w:t>C：</w:t>
      </w:r>
    </w:p>
    <w:p>
      <w:pPr>
        <w:keepNext w:val="0"/>
        <w:keepLines w:val="0"/>
        <w:pageBreakBefore w:val="0"/>
        <w:widowControl w:val="0"/>
        <w:numPr>
          <w:ilvl w:val="0"/>
          <w:numId w:val="6"/>
        </w:numPr>
        <w:kinsoku/>
        <w:wordWrap/>
        <w:overflowPunct w:val="0"/>
        <w:topLinePunct w:val="0"/>
        <w:autoSpaceDE w:val="0"/>
        <w:autoSpaceDN w:val="0"/>
        <w:bidi w:val="0"/>
        <w:adjustRightInd w:val="0"/>
        <w:snapToGrid/>
        <w:spacing w:line="240" w:lineRule="auto"/>
        <w:ind w:left="0" w:firstLine="420" w:firstLineChars="200"/>
        <w:jc w:val="left"/>
        <w:textAlignment w:val="auto"/>
        <w:rPr>
          <w:rFonts w:hint="default" w:ascii="Times New Roman" w:hAnsi="Times New Roman" w:eastAsia="宋体" w:cs="Times New Roman"/>
          <w:kern w:val="0"/>
          <w:position w:val="2"/>
          <w:sz w:val="21"/>
          <w:szCs w:val="21"/>
        </w:rPr>
      </w:pPr>
      <w:r>
        <w:rPr>
          <w:rFonts w:hint="default" w:ascii="Times New Roman" w:hAnsi="Times New Roman" w:eastAsia="宋体" w:cs="Times New Roman"/>
          <w:kern w:val="0"/>
          <w:position w:val="2"/>
          <w:sz w:val="21"/>
          <w:szCs w:val="21"/>
        </w:rPr>
        <w:t>F</w:t>
      </w:r>
      <w:r>
        <w:rPr>
          <w:rFonts w:hint="default" w:ascii="Times New Roman" w:hAnsi="Times New Roman" w:eastAsia="宋体" w:cs="Times New Roman"/>
          <w:kern w:val="0"/>
          <w:sz w:val="21"/>
          <w:szCs w:val="21"/>
        </w:rPr>
        <w:t>m</w:t>
      </w:r>
      <w:r>
        <w:rPr>
          <w:rFonts w:hint="default" w:ascii="Times New Roman" w:hAnsi="Times New Roman" w:eastAsia="宋体" w:cs="Times New Roman"/>
          <w:kern w:val="0"/>
          <w:position w:val="2"/>
          <w:sz w:val="21"/>
          <w:szCs w:val="21"/>
        </w:rPr>
        <w:t>（Fraction Modern）：现代碳比值，</w:t>
      </w:r>
      <w:r>
        <w:rPr>
          <w:rFonts w:hint="eastAsia" w:ascii="Times New Roman" w:hAnsi="Times New Roman" w:eastAsia="宋体" w:cs="Times New Roman"/>
          <w:kern w:val="0"/>
          <w:position w:val="2"/>
          <w:sz w:val="21"/>
          <w:szCs w:val="21"/>
          <w:lang w:val="en-US" w:eastAsia="zh-CN"/>
        </w:rPr>
        <w:t>计算公式</w:t>
      </w:r>
      <w:r>
        <w:rPr>
          <w:rFonts w:hint="default" w:ascii="Times New Roman" w:hAnsi="Times New Roman" w:eastAsia="宋体" w:cs="Times New Roman"/>
          <w:kern w:val="0"/>
          <w:position w:val="2"/>
          <w:sz w:val="21"/>
          <w:szCs w:val="21"/>
        </w:rPr>
        <w:t>如下：</w:t>
      </w:r>
    </w:p>
    <w:p>
      <w:pPr>
        <w:pageBreakBefore w:val="0"/>
        <w:kinsoku/>
        <w:wordWrap/>
        <w:overflowPunct w:val="0"/>
        <w:topLinePunct w:val="0"/>
        <w:autoSpaceDE w:val="0"/>
        <w:autoSpaceDN w:val="0"/>
        <w:bidi w:val="0"/>
        <w:adjustRightInd w:val="0"/>
        <w:ind w:left="2658"/>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drawing>
          <wp:inline distT="0" distB="0" distL="114300" distR="114300">
            <wp:extent cx="2108835" cy="422910"/>
            <wp:effectExtent l="0" t="0" r="5715" b="15240"/>
            <wp:docPr id="10"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true"/>
                    </pic:cNvPicPr>
                  </pic:nvPicPr>
                  <pic:blipFill>
                    <a:blip r:embed="rId21"/>
                    <a:stretch>
                      <a:fillRect/>
                    </a:stretch>
                  </pic:blipFill>
                  <pic:spPr>
                    <a:xfrm>
                      <a:off x="0" y="0"/>
                      <a:ext cx="2108835" cy="422910"/>
                    </a:xfrm>
                    <a:prstGeom prst="rect">
                      <a:avLst/>
                    </a:prstGeom>
                    <a:noFill/>
                    <a:ln>
                      <a:noFill/>
                    </a:ln>
                  </pic:spPr>
                </pic:pic>
              </a:graphicData>
            </a:graphic>
          </wp:inline>
        </w:drawing>
      </w:r>
      <w:r>
        <w:rPr>
          <w:rFonts w:hint="default"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lang w:val="en-US" w:eastAsia="zh-CN"/>
        </w:rPr>
        <w:t>6</w:t>
      </w:r>
      <w:r>
        <w:rPr>
          <w:rFonts w:hint="default" w:ascii="Times New Roman" w:hAnsi="Times New Roman" w:eastAsia="宋体" w:cs="Times New Roman"/>
          <w:kern w:val="0"/>
          <w:sz w:val="21"/>
          <w:szCs w:val="21"/>
        </w:rPr>
        <w:t>）</w:t>
      </w:r>
    </w:p>
    <w:p>
      <w:pPr>
        <w:keepNext w:val="0"/>
        <w:keepLines w:val="0"/>
        <w:pageBreakBefore w:val="0"/>
        <w:widowControl w:val="0"/>
        <w:kinsoku w:val="0"/>
        <w:wordWrap/>
        <w:overflowPunct w:val="0"/>
        <w:topLinePunct w:val="0"/>
        <w:autoSpaceDE w:val="0"/>
        <w:autoSpaceDN w:val="0"/>
        <w:bidi w:val="0"/>
        <w:adjustRightInd w:val="0"/>
        <w:snapToGrid/>
        <w:ind w:left="420" w:leftChars="0" w:firstLine="420" w:firstLineChars="200"/>
        <w:jc w:val="left"/>
        <w:textAlignment w:val="auto"/>
        <w:rPr>
          <w:rFonts w:hint="eastAsia" w:ascii="宋体" w:hAnsi="宋体" w:eastAsia="宋体" w:cs="宋体"/>
          <w:kern w:val="0"/>
          <w:sz w:val="14"/>
          <w:szCs w:val="14"/>
          <w:highlight w:val="none"/>
          <w:vertAlign w:val="superscript"/>
          <w:lang w:val="en-US" w:eastAsia="zh-CN"/>
        </w:rPr>
      </w:pPr>
      <w:r>
        <w:rPr>
          <w:rFonts w:hint="default" w:ascii="Times New Roman" w:hAnsi="Times New Roman" w:eastAsia="宋体" w:cs="Times New Roman"/>
          <w:kern w:val="0"/>
          <w:sz w:val="21"/>
          <w:szCs w:val="21"/>
        </w:rPr>
        <w:t>其中，</w:t>
      </w:r>
      <w:r>
        <w:rPr>
          <w:rFonts w:hint="eastAsia" w:ascii="宋体" w:hAnsi="宋体" w:eastAsia="宋体" w:cs="宋体"/>
          <w:kern w:val="0"/>
          <w:position w:val="2"/>
          <w:szCs w:val="21"/>
          <w:highlight w:val="none"/>
        </w:rPr>
        <w:t>F</w:t>
      </w:r>
      <w:r>
        <w:rPr>
          <w:rFonts w:hint="eastAsia" w:ascii="宋体" w:hAnsi="宋体" w:eastAsia="宋体" w:cs="宋体"/>
          <w:kern w:val="0"/>
          <w:sz w:val="14"/>
          <w:szCs w:val="14"/>
          <w:highlight w:val="none"/>
        </w:rPr>
        <w:t>m</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现代碳比值</w:t>
      </w:r>
    </w:p>
    <w:p>
      <w:pPr>
        <w:keepNext w:val="0"/>
        <w:keepLines w:val="0"/>
        <w:pageBreakBefore w:val="0"/>
        <w:widowControl w:val="0"/>
        <w:kinsoku w:val="0"/>
        <w:wordWrap/>
        <w:overflowPunct w:val="0"/>
        <w:topLinePunct w:val="0"/>
        <w:autoSpaceDE w:val="0"/>
        <w:autoSpaceDN w:val="0"/>
        <w:bidi w:val="0"/>
        <w:adjustRightInd w:val="0"/>
        <w:snapToGrid/>
        <w:ind w:left="420" w:leftChars="0" w:firstLine="420" w:firstLineChars="20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i/>
          <w:kern w:val="0"/>
          <w:szCs w:val="21"/>
          <w:highlight w:val="none"/>
        </w:rPr>
        <w:t>A</w:t>
      </w:r>
      <w:r>
        <w:rPr>
          <w:rFonts w:hint="eastAsia" w:ascii="宋体" w:hAnsi="宋体" w:eastAsia="宋体" w:cs="宋体"/>
          <w:kern w:val="0"/>
          <w:sz w:val="21"/>
          <w:szCs w:val="21"/>
          <w:highlight w:val="none"/>
          <w:vertAlign w:val="subscript"/>
        </w:rPr>
        <w:t>SN</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样品</w:t>
      </w:r>
      <w:r>
        <w:rPr>
          <w:rFonts w:hint="eastAsia" w:ascii="宋体" w:hAnsi="宋体" w:eastAsia="宋体" w:cs="宋体"/>
          <w:kern w:val="0"/>
          <w:szCs w:val="21"/>
          <w:highlight w:val="none"/>
          <w:vertAlign w:val="superscript"/>
        </w:rPr>
        <w:t>1</w:t>
      </w:r>
      <w:r>
        <w:rPr>
          <w:rFonts w:hint="eastAsia" w:ascii="宋体" w:hAnsi="宋体" w:eastAsia="宋体" w:cs="宋体"/>
          <w:kern w:val="0"/>
          <w:szCs w:val="21"/>
          <w:highlight w:val="none"/>
          <w:vertAlign w:val="superscript"/>
          <w:lang w:val="en-US" w:eastAsia="zh-CN"/>
        </w:rPr>
        <w:t>4</w:t>
      </w:r>
      <w:r>
        <w:rPr>
          <w:rFonts w:hint="eastAsia" w:ascii="宋体" w:hAnsi="宋体" w:eastAsia="宋体" w:cs="宋体"/>
          <w:kern w:val="0"/>
          <w:szCs w:val="21"/>
          <w:highlight w:val="none"/>
        </w:rPr>
        <w:t>C</w:t>
      </w:r>
      <w:r>
        <w:rPr>
          <w:rFonts w:hint="eastAsia" w:ascii="宋体" w:hAnsi="宋体" w:eastAsia="宋体" w:cs="宋体"/>
          <w:kern w:val="0"/>
          <w:szCs w:val="21"/>
          <w:highlight w:val="none"/>
          <w:lang w:val="en-US" w:eastAsia="zh-CN"/>
        </w:rPr>
        <w:t>/</w:t>
      </w:r>
      <w:r>
        <w:rPr>
          <w:rFonts w:hint="eastAsia" w:ascii="宋体" w:hAnsi="宋体" w:eastAsia="宋体" w:cs="宋体"/>
          <w:kern w:val="0"/>
          <w:szCs w:val="21"/>
          <w:highlight w:val="none"/>
          <w:vertAlign w:val="superscript"/>
        </w:rPr>
        <w:t>1</w:t>
      </w:r>
      <w:r>
        <w:rPr>
          <w:rFonts w:hint="eastAsia" w:ascii="宋体" w:hAnsi="宋体" w:eastAsia="宋体" w:cs="宋体"/>
          <w:kern w:val="0"/>
          <w:szCs w:val="21"/>
          <w:highlight w:val="none"/>
          <w:vertAlign w:val="superscript"/>
          <w:lang w:val="en-US" w:eastAsia="zh-CN"/>
        </w:rPr>
        <w:t>2</w:t>
      </w:r>
      <w:r>
        <w:rPr>
          <w:rFonts w:hint="eastAsia" w:ascii="宋体" w:hAnsi="宋体" w:eastAsia="宋体" w:cs="宋体"/>
          <w:kern w:val="0"/>
          <w:szCs w:val="21"/>
          <w:highlight w:val="none"/>
        </w:rPr>
        <w:t>C</w:t>
      </w:r>
      <w:r>
        <w:rPr>
          <w:rFonts w:hint="eastAsia" w:ascii="宋体" w:hAnsi="宋体" w:eastAsia="宋体" w:cs="宋体"/>
          <w:kern w:val="0"/>
          <w:szCs w:val="21"/>
          <w:highlight w:val="none"/>
          <w:lang w:val="en-US" w:eastAsia="zh-CN"/>
        </w:rPr>
        <w:t>比值，以 δ</w:t>
      </w:r>
      <w:r>
        <w:rPr>
          <w:rFonts w:hint="eastAsia" w:ascii="宋体" w:hAnsi="宋体" w:eastAsia="宋体" w:cs="宋体"/>
          <w:kern w:val="0"/>
          <w:szCs w:val="21"/>
          <w:highlight w:val="none"/>
          <w:vertAlign w:val="superscript"/>
          <w:lang w:val="en-US" w:eastAsia="zh-CN"/>
        </w:rPr>
        <w:t>13</w:t>
      </w:r>
      <w:r>
        <w:rPr>
          <w:rFonts w:hint="eastAsia" w:ascii="宋体" w:hAnsi="宋体" w:eastAsia="宋体" w:cs="宋体"/>
          <w:kern w:val="0"/>
          <w:szCs w:val="21"/>
          <w:highlight w:val="none"/>
          <w:lang w:val="en-US" w:eastAsia="zh-CN"/>
        </w:rPr>
        <w:t>C = -25‰为标准化值；</w:t>
      </w:r>
    </w:p>
    <w:p>
      <w:pPr>
        <w:keepNext w:val="0"/>
        <w:keepLines w:val="0"/>
        <w:pageBreakBefore w:val="0"/>
        <w:widowControl w:val="0"/>
        <w:kinsoku w:val="0"/>
        <w:wordWrap/>
        <w:overflowPunct w:val="0"/>
        <w:topLinePunct w:val="0"/>
        <w:autoSpaceDE w:val="0"/>
        <w:autoSpaceDN w:val="0"/>
        <w:bidi w:val="0"/>
        <w:adjustRightInd w:val="0"/>
        <w:snapToGrid/>
        <w:ind w:left="420" w:leftChars="0"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i/>
          <w:kern w:val="0"/>
          <w:szCs w:val="21"/>
          <w:highlight w:val="none"/>
        </w:rPr>
        <w:t>A</w:t>
      </w:r>
      <w:r>
        <w:rPr>
          <w:rFonts w:hint="eastAsia" w:ascii="宋体" w:hAnsi="宋体" w:eastAsia="宋体" w:cs="宋体"/>
          <w:kern w:val="0"/>
          <w:sz w:val="21"/>
          <w:szCs w:val="21"/>
          <w:highlight w:val="none"/>
          <w:vertAlign w:val="subscript"/>
        </w:rPr>
        <w:t>ON</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标准样品</w:t>
      </w:r>
      <w:r>
        <w:rPr>
          <w:rFonts w:hint="eastAsia" w:ascii="宋体" w:hAnsi="宋体" w:eastAsia="宋体" w:cs="宋体"/>
          <w:kern w:val="0"/>
          <w:szCs w:val="21"/>
          <w:highlight w:val="none"/>
          <w:vertAlign w:val="superscript"/>
        </w:rPr>
        <w:t>1</w:t>
      </w:r>
      <w:r>
        <w:rPr>
          <w:rFonts w:hint="eastAsia" w:ascii="宋体" w:hAnsi="宋体" w:eastAsia="宋体" w:cs="宋体"/>
          <w:kern w:val="0"/>
          <w:szCs w:val="21"/>
          <w:highlight w:val="none"/>
          <w:vertAlign w:val="superscript"/>
          <w:lang w:val="en-US" w:eastAsia="zh-CN"/>
        </w:rPr>
        <w:t>4</w:t>
      </w:r>
      <w:r>
        <w:rPr>
          <w:rFonts w:hint="eastAsia" w:ascii="宋体" w:hAnsi="宋体" w:eastAsia="宋体" w:cs="宋体"/>
          <w:kern w:val="0"/>
          <w:szCs w:val="21"/>
          <w:highlight w:val="none"/>
        </w:rPr>
        <w:t>C</w:t>
      </w:r>
      <w:r>
        <w:rPr>
          <w:rFonts w:hint="eastAsia" w:ascii="宋体" w:hAnsi="宋体" w:eastAsia="宋体" w:cs="宋体"/>
          <w:kern w:val="0"/>
          <w:szCs w:val="21"/>
          <w:highlight w:val="none"/>
          <w:lang w:val="en-US" w:eastAsia="zh-CN"/>
        </w:rPr>
        <w:t>/</w:t>
      </w:r>
      <w:r>
        <w:rPr>
          <w:rFonts w:hint="eastAsia" w:ascii="宋体" w:hAnsi="宋体" w:eastAsia="宋体" w:cs="宋体"/>
          <w:kern w:val="0"/>
          <w:szCs w:val="21"/>
          <w:highlight w:val="none"/>
          <w:vertAlign w:val="superscript"/>
        </w:rPr>
        <w:t>1</w:t>
      </w:r>
      <w:r>
        <w:rPr>
          <w:rFonts w:hint="eastAsia" w:ascii="宋体" w:hAnsi="宋体" w:eastAsia="宋体" w:cs="宋体"/>
          <w:kern w:val="0"/>
          <w:szCs w:val="21"/>
          <w:highlight w:val="none"/>
          <w:vertAlign w:val="superscript"/>
          <w:lang w:val="en-US" w:eastAsia="zh-CN"/>
        </w:rPr>
        <w:t>2</w:t>
      </w:r>
      <w:r>
        <w:rPr>
          <w:rFonts w:hint="eastAsia" w:ascii="宋体" w:hAnsi="宋体" w:eastAsia="宋体" w:cs="宋体"/>
          <w:kern w:val="0"/>
          <w:szCs w:val="21"/>
          <w:highlight w:val="none"/>
        </w:rPr>
        <w:t>C</w:t>
      </w:r>
      <w:r>
        <w:rPr>
          <w:rFonts w:hint="eastAsia" w:ascii="宋体" w:hAnsi="宋体" w:eastAsia="宋体" w:cs="宋体"/>
          <w:kern w:val="0"/>
          <w:szCs w:val="21"/>
          <w:highlight w:val="none"/>
          <w:lang w:val="en-US" w:eastAsia="zh-CN"/>
        </w:rPr>
        <w:t>比值，以 δ</w:t>
      </w:r>
      <w:r>
        <w:rPr>
          <w:rFonts w:hint="eastAsia" w:ascii="宋体" w:hAnsi="宋体" w:eastAsia="宋体" w:cs="宋体"/>
          <w:kern w:val="0"/>
          <w:szCs w:val="21"/>
          <w:highlight w:val="none"/>
          <w:vertAlign w:val="superscript"/>
          <w:lang w:val="en-US" w:eastAsia="zh-CN"/>
        </w:rPr>
        <w:t>13</w:t>
      </w:r>
      <w:r>
        <w:rPr>
          <w:rFonts w:hint="eastAsia" w:ascii="宋体" w:hAnsi="宋体" w:eastAsia="宋体" w:cs="宋体"/>
          <w:kern w:val="0"/>
          <w:szCs w:val="21"/>
          <w:highlight w:val="none"/>
          <w:lang w:val="en-US" w:eastAsia="zh-CN"/>
        </w:rPr>
        <w:t>C = -25‰为标准化值</w:t>
      </w:r>
      <w:r>
        <w:rPr>
          <w:rFonts w:hint="eastAsia" w:ascii="宋体" w:hAnsi="宋体" w:eastAsia="宋体" w:cs="宋体"/>
          <w:kern w:val="0"/>
          <w:szCs w:val="21"/>
          <w:highlight w:val="none"/>
        </w:rPr>
        <w:t>；</w:t>
      </w:r>
    </w:p>
    <w:p>
      <w:pPr>
        <w:keepNext w:val="0"/>
        <w:keepLines w:val="0"/>
        <w:pageBreakBefore w:val="0"/>
        <w:widowControl w:val="0"/>
        <w:kinsoku w:val="0"/>
        <w:wordWrap/>
        <w:overflowPunct w:val="0"/>
        <w:topLinePunct w:val="0"/>
        <w:autoSpaceDE w:val="0"/>
        <w:autoSpaceDN w:val="0"/>
        <w:bidi w:val="0"/>
        <w:adjustRightInd w:val="0"/>
        <w:snapToGrid/>
        <w:ind w:left="420" w:leftChars="0"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i/>
          <w:kern w:val="0"/>
          <w:szCs w:val="21"/>
          <w:highlight w:val="none"/>
        </w:rPr>
        <w:t>A</w:t>
      </w:r>
      <w:r>
        <w:rPr>
          <w:rFonts w:hint="eastAsia" w:ascii="宋体" w:hAnsi="宋体" w:eastAsia="宋体" w:cs="宋体"/>
          <w:kern w:val="0"/>
          <w:sz w:val="21"/>
          <w:szCs w:val="21"/>
          <w:highlight w:val="none"/>
          <w:vertAlign w:val="subscript"/>
        </w:rPr>
        <w:t>abs</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绝对标准值，1950年国际草酸OXI的放射性比活度的0.95倍；</w:t>
      </w:r>
    </w:p>
    <w:p>
      <w:pPr>
        <w:keepNext w:val="0"/>
        <w:keepLines w:val="0"/>
        <w:pageBreakBefore w:val="0"/>
        <w:widowControl w:val="0"/>
        <w:kinsoku w:val="0"/>
        <w:wordWrap/>
        <w:overflowPunct w:val="0"/>
        <w:topLinePunct w:val="0"/>
        <w:autoSpaceDE w:val="0"/>
        <w:autoSpaceDN w:val="0"/>
        <w:bidi w:val="0"/>
        <w:adjustRightInd w:val="0"/>
        <w:snapToGrid/>
        <w:ind w:left="420" w:leftChars="0"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λ</w:t>
      </w:r>
      <w:r>
        <w:rPr>
          <w:rFonts w:hint="eastAsia" w:ascii="宋体" w:hAnsi="宋体" w:eastAsia="宋体" w:cs="宋体"/>
          <w:kern w:val="0"/>
          <w:sz w:val="21"/>
          <w:szCs w:val="21"/>
          <w:highlight w:val="none"/>
          <w:vertAlign w:val="subscript"/>
        </w:rPr>
        <w:t>C</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vertAlign w:val="superscript"/>
        </w:rPr>
        <w:t>14</w:t>
      </w:r>
      <w:r>
        <w:rPr>
          <w:rFonts w:hint="eastAsia" w:ascii="宋体" w:hAnsi="宋体" w:eastAsia="宋体" w:cs="宋体"/>
          <w:kern w:val="0"/>
          <w:szCs w:val="21"/>
          <w:highlight w:val="none"/>
        </w:rPr>
        <w:t>C衰变常数；</w:t>
      </w:r>
    </w:p>
    <w:p>
      <w:pPr>
        <w:keepNext w:val="0"/>
        <w:keepLines w:val="0"/>
        <w:pageBreakBefore w:val="0"/>
        <w:widowControl w:val="0"/>
        <w:kinsoku w:val="0"/>
        <w:wordWrap/>
        <w:overflowPunct w:val="0"/>
        <w:topLinePunct w:val="0"/>
        <w:autoSpaceDE w:val="0"/>
        <w:autoSpaceDN w:val="0"/>
        <w:bidi w:val="0"/>
        <w:adjustRightInd w:val="0"/>
        <w:snapToGrid/>
        <w:ind w:left="420" w:leftChars="0"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y</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测量年；</w:t>
      </w:r>
    </w:p>
    <w:p>
      <w:pPr>
        <w:keepNext w:val="0"/>
        <w:keepLines w:val="0"/>
        <w:pageBreakBefore w:val="0"/>
        <w:widowControl w:val="0"/>
        <w:kinsoku w:val="0"/>
        <w:wordWrap/>
        <w:overflowPunct w:val="0"/>
        <w:topLinePunct w:val="0"/>
        <w:autoSpaceDE w:val="0"/>
        <w:autoSpaceDN w:val="0"/>
        <w:bidi w:val="0"/>
        <w:adjustRightInd w:val="0"/>
        <w:snapToGrid/>
        <w:ind w:left="420" w:leftChars="0" w:firstLine="420" w:firstLineChars="200"/>
        <w:jc w:val="left"/>
        <w:textAlignment w:val="auto"/>
        <w:rPr>
          <w:rFonts w:hint="eastAsia" w:ascii="宋体" w:hAnsi="宋体" w:eastAsia="宋体" w:cs="宋体"/>
          <w:kern w:val="0"/>
          <w:sz w:val="21"/>
          <w:szCs w:val="21"/>
        </w:rPr>
      </w:pPr>
      <w:r>
        <w:rPr>
          <w:rFonts w:hint="eastAsia" w:ascii="宋体" w:hAnsi="宋体" w:eastAsia="宋体" w:cs="宋体"/>
          <w:i/>
          <w:kern w:val="0"/>
          <w:szCs w:val="21"/>
          <w:highlight w:val="none"/>
        </w:rPr>
        <w:t>pMC</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现代</w:t>
      </w:r>
      <w:r>
        <w:rPr>
          <w:rFonts w:hint="eastAsia" w:ascii="宋体" w:hAnsi="宋体" w:eastAsia="宋体" w:cs="宋体"/>
          <w:color w:val="auto"/>
          <w:kern w:val="0"/>
          <w:szCs w:val="21"/>
          <w:highlight w:val="none"/>
        </w:rPr>
        <w:t>碳百分含量。</w:t>
      </w:r>
    </w:p>
    <w:p>
      <w:pPr>
        <w:keepNext w:val="0"/>
        <w:keepLines w:val="0"/>
        <w:pageBreakBefore w:val="0"/>
        <w:widowControl w:val="0"/>
        <w:numPr>
          <w:ilvl w:val="0"/>
          <w:numId w:val="6"/>
        </w:numPr>
        <w:kinsoku/>
        <w:wordWrap/>
        <w:overflowPunct w:val="0"/>
        <w:topLinePunct w:val="0"/>
        <w:autoSpaceDE w:val="0"/>
        <w:autoSpaceDN w:val="0"/>
        <w:bidi w:val="0"/>
        <w:adjustRightInd w:val="0"/>
        <w:snapToGrid/>
        <w:ind w:left="0" w:firstLine="420" w:firstLineChars="200"/>
        <w:jc w:val="left"/>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r>
        <w:rPr>
          <w:rFonts w:hint="default" w:ascii="Times New Roman" w:hAnsi="Times New Roman" w:eastAsia="宋体" w:cs="Times New Roman"/>
          <w:kern w:val="0"/>
          <w:sz w:val="21"/>
          <w:szCs w:val="21"/>
          <w:vertAlign w:val="superscript"/>
        </w:rPr>
        <w:t>14</w:t>
      </w:r>
      <w:r>
        <w:rPr>
          <w:rFonts w:hint="default" w:ascii="Times New Roman" w:hAnsi="Times New Roman" w:eastAsia="宋体" w:cs="Times New Roman"/>
          <w:kern w:val="0"/>
          <w:sz w:val="21"/>
          <w:szCs w:val="21"/>
        </w:rPr>
        <w:t>C（Delta</w:t>
      </w:r>
      <w:r>
        <w:rPr>
          <w:rFonts w:hint="default" w:ascii="Times New Roman" w:hAnsi="Times New Roman" w:eastAsia="宋体" w:cs="Times New Roman"/>
          <w:kern w:val="0"/>
          <w:sz w:val="21"/>
          <w:szCs w:val="21"/>
          <w:vertAlign w:val="superscript"/>
        </w:rPr>
        <w:t>14</w:t>
      </w:r>
      <w:r>
        <w:rPr>
          <w:rFonts w:hint="default" w:ascii="Times New Roman" w:hAnsi="Times New Roman" w:eastAsia="宋体" w:cs="Times New Roman"/>
          <w:kern w:val="0"/>
          <w:sz w:val="21"/>
          <w:szCs w:val="21"/>
        </w:rPr>
        <w:t>C）</w:t>
      </w:r>
      <w:r>
        <w:rPr>
          <w:rFonts w:hint="eastAsia" w:ascii="Times New Roman" w:hAnsi="Times New Roman" w:eastAsia="宋体" w:cs="Times New Roman"/>
          <w:kern w:val="0"/>
          <w:sz w:val="21"/>
          <w:szCs w:val="21"/>
          <w:lang w:val="en-US" w:eastAsia="zh-CN"/>
        </w:rPr>
        <w:t>计算公式</w:t>
      </w:r>
      <w:r>
        <w:rPr>
          <w:rFonts w:hint="default" w:ascii="Times New Roman" w:hAnsi="Times New Roman" w:eastAsia="宋体" w:cs="Times New Roman"/>
          <w:kern w:val="0"/>
          <w:sz w:val="21"/>
          <w:szCs w:val="21"/>
        </w:rPr>
        <w:t>如下：</w:t>
      </w:r>
    </w:p>
    <w:p>
      <w:pPr>
        <w:pageBreakBefore w:val="0"/>
        <w:kinsoku/>
        <w:wordWrap/>
        <w:overflowPunct w:val="0"/>
        <w:topLinePunct w:val="0"/>
        <w:autoSpaceDE w:val="0"/>
        <w:autoSpaceDN w:val="0"/>
        <w:bidi w:val="0"/>
        <w:adjustRightInd w:val="0"/>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kern w:val="0"/>
          <w:sz w:val="21"/>
          <w:szCs w:val="21"/>
        </w:rPr>
        <w:drawing>
          <wp:inline distT="0" distB="0" distL="114300" distR="114300">
            <wp:extent cx="1583690" cy="435610"/>
            <wp:effectExtent l="0" t="0" r="16510" b="2540"/>
            <wp:docPr id="11"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true"/>
                    </pic:cNvPicPr>
                  </pic:nvPicPr>
                  <pic:blipFill>
                    <a:blip r:embed="rId22"/>
                    <a:stretch>
                      <a:fillRect/>
                    </a:stretch>
                  </pic:blipFill>
                  <pic:spPr>
                    <a:xfrm>
                      <a:off x="0" y="0"/>
                      <a:ext cx="1583690" cy="435610"/>
                    </a:xfrm>
                    <a:prstGeom prst="rect">
                      <a:avLst/>
                    </a:prstGeom>
                    <a:noFill/>
                    <a:ln>
                      <a:noFill/>
                    </a:ln>
                  </pic:spPr>
                </pic:pic>
              </a:graphicData>
            </a:graphic>
          </wp:inline>
        </w:drawing>
      </w:r>
      <w:r>
        <w:rPr>
          <w:rFonts w:hint="default" w:ascii="Times New Roman" w:hAnsi="Times New Roman" w:eastAsia="宋体" w:cs="Times New Roman"/>
          <w:kern w:val="0"/>
          <w:sz w:val="21"/>
          <w:szCs w:val="21"/>
        </w:rPr>
        <w:t xml:space="preserve">                  （</w:t>
      </w:r>
      <w:r>
        <w:rPr>
          <w:rFonts w:hint="eastAsia" w:ascii="Times New Roman" w:hAnsi="Times New Roman" w:eastAsia="宋体" w:cs="Times New Roman"/>
          <w:kern w:val="0"/>
          <w:sz w:val="21"/>
          <w:szCs w:val="21"/>
          <w:lang w:val="en-US" w:eastAsia="zh-CN"/>
        </w:rPr>
        <w:t>7</w:t>
      </w:r>
      <w:r>
        <w:rPr>
          <w:rFonts w:hint="default" w:ascii="Times New Roman" w:hAnsi="Times New Roman" w:eastAsia="宋体" w:cs="Times New Roman"/>
          <w:kern w:val="0"/>
          <w:sz w:val="21"/>
          <w:szCs w:val="21"/>
        </w:rPr>
        <w:t>）</w:t>
      </w:r>
    </w:p>
    <w:p>
      <w:pPr>
        <w:keepNext w:val="0"/>
        <w:keepLines w:val="0"/>
        <w:pageBreakBefore w:val="0"/>
        <w:kinsoku w:val="0"/>
        <w:wordWrap/>
        <w:overflowPunct w:val="0"/>
        <w:topLinePunct w:val="0"/>
        <w:autoSpaceDE w:val="0"/>
        <w:autoSpaceDN w:val="0"/>
        <w:bidi w:val="0"/>
        <w:adjustRightInd w:val="0"/>
        <w:snapToGrid/>
        <w:spacing w:line="240" w:lineRule="auto"/>
        <w:ind w:left="420" w:leftChars="0" w:firstLine="420" w:firstLineChars="200"/>
        <w:jc w:val="left"/>
        <w:textAlignment w:val="auto"/>
        <w:rPr>
          <w:rFonts w:hint="eastAsia" w:ascii="宋体" w:hAnsi="宋体" w:eastAsia="宋体" w:cs="宋体"/>
          <w:kern w:val="0"/>
          <w:szCs w:val="21"/>
          <w:highlight w:val="none"/>
          <w:lang w:eastAsia="zh-CN"/>
        </w:rPr>
      </w:pPr>
      <w:r>
        <w:rPr>
          <w:rFonts w:hint="default" w:ascii="Times New Roman" w:hAnsi="Times New Roman" w:eastAsia="宋体" w:cs="Times New Roman"/>
          <w:kern w:val="0"/>
          <w:sz w:val="21"/>
          <w:szCs w:val="21"/>
        </w:rPr>
        <w:t>其中，</w:t>
      </w:r>
      <w:r>
        <w:rPr>
          <w:rFonts w:hint="eastAsia" w:ascii="宋体" w:hAnsi="宋体" w:eastAsia="宋体" w:cs="宋体"/>
          <w:kern w:val="0"/>
          <w:szCs w:val="21"/>
          <w:highlight w:val="none"/>
        </w:rPr>
        <w:t>∆</w:t>
      </w:r>
      <w:r>
        <w:rPr>
          <w:rFonts w:hint="eastAsia" w:ascii="宋体" w:hAnsi="宋体" w:eastAsia="宋体" w:cs="宋体"/>
          <w:kern w:val="0"/>
          <w:szCs w:val="21"/>
          <w:highlight w:val="none"/>
          <w:vertAlign w:val="superscript"/>
        </w:rPr>
        <w:t>14</w:t>
      </w:r>
      <w:r>
        <w:rPr>
          <w:rFonts w:hint="eastAsia" w:ascii="宋体" w:hAnsi="宋体" w:eastAsia="宋体" w:cs="宋体"/>
          <w:kern w:val="0"/>
          <w:szCs w:val="21"/>
          <w:highlight w:val="none"/>
        </w:rPr>
        <w:t>C</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Delta</w:t>
      </w:r>
      <w:r>
        <w:rPr>
          <w:rFonts w:hint="eastAsia" w:ascii="宋体" w:hAnsi="宋体" w:eastAsia="宋体" w:cs="宋体"/>
          <w:kern w:val="0"/>
          <w:szCs w:val="21"/>
          <w:highlight w:val="none"/>
          <w:vertAlign w:val="superscript"/>
        </w:rPr>
        <w:t>14</w:t>
      </w:r>
      <w:r>
        <w:rPr>
          <w:rFonts w:hint="eastAsia" w:ascii="宋体" w:hAnsi="宋体" w:eastAsia="宋体" w:cs="宋体"/>
          <w:kern w:val="0"/>
          <w:szCs w:val="21"/>
          <w:highlight w:val="none"/>
        </w:rPr>
        <w:t>C</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标准化样品与绝对</w:t>
      </w:r>
      <w:r>
        <w:rPr>
          <w:rFonts w:hint="eastAsia" w:ascii="宋体" w:hAnsi="宋体" w:eastAsia="宋体" w:cs="宋体"/>
          <w:kern w:val="0"/>
          <w:szCs w:val="21"/>
          <w:highlight w:val="none"/>
          <w:vertAlign w:val="superscript"/>
        </w:rPr>
        <w:t>14</w:t>
      </w:r>
      <w:r>
        <w:rPr>
          <w:rFonts w:hint="eastAsia" w:ascii="宋体" w:hAnsi="宋体" w:eastAsia="宋体" w:cs="宋体"/>
          <w:kern w:val="0"/>
          <w:szCs w:val="21"/>
          <w:highlight w:val="none"/>
        </w:rPr>
        <w:t>C标准的</w:t>
      </w:r>
      <w:r>
        <w:rPr>
          <w:rFonts w:hint="eastAsia" w:ascii="宋体" w:hAnsi="宋体" w:eastAsia="宋体" w:cs="宋体"/>
          <w:kern w:val="0"/>
          <w:szCs w:val="21"/>
          <w:highlight w:val="none"/>
          <w:vertAlign w:val="superscript"/>
        </w:rPr>
        <w:t>14</w:t>
      </w:r>
      <w:r>
        <w:rPr>
          <w:rFonts w:hint="eastAsia" w:ascii="宋体" w:hAnsi="宋体" w:eastAsia="宋体" w:cs="宋体"/>
          <w:kern w:val="0"/>
          <w:szCs w:val="21"/>
          <w:highlight w:val="none"/>
        </w:rPr>
        <w:t>C相对富集或亏损</w:t>
      </w:r>
      <w:r>
        <w:rPr>
          <w:rFonts w:hint="eastAsia" w:ascii="宋体" w:hAnsi="宋体" w:eastAsia="宋体" w:cs="宋体"/>
          <w:kern w:val="0"/>
          <w:szCs w:val="21"/>
          <w:highlight w:val="none"/>
          <w:lang w:eastAsia="zh-CN"/>
        </w:rPr>
        <w:t>；</w:t>
      </w:r>
    </w:p>
    <w:p>
      <w:pPr>
        <w:keepNext w:val="0"/>
        <w:keepLines w:val="0"/>
        <w:pageBreakBefore w:val="0"/>
        <w:kinsoku w:val="0"/>
        <w:wordWrap/>
        <w:overflowPunct w:val="0"/>
        <w:topLinePunct w:val="0"/>
        <w:autoSpaceDE w:val="0"/>
        <w:autoSpaceDN w:val="0"/>
        <w:bidi w:val="0"/>
        <w:adjustRightInd w:val="0"/>
        <w:snapToGrid/>
        <w:spacing w:line="240" w:lineRule="auto"/>
        <w:ind w:left="420" w:leftChars="0"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i/>
          <w:kern w:val="0"/>
          <w:szCs w:val="21"/>
          <w:highlight w:val="none"/>
        </w:rPr>
        <w:t>A</w:t>
      </w:r>
      <w:r>
        <w:rPr>
          <w:rFonts w:hint="eastAsia" w:ascii="宋体" w:hAnsi="宋体" w:eastAsia="宋体" w:cs="宋体"/>
          <w:kern w:val="0"/>
          <w:sz w:val="14"/>
          <w:szCs w:val="14"/>
          <w:highlight w:val="none"/>
        </w:rPr>
        <w:t>SN</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样品</w:t>
      </w:r>
      <w:r>
        <w:rPr>
          <w:rFonts w:hint="eastAsia" w:ascii="宋体" w:hAnsi="宋体" w:eastAsia="宋体" w:cs="宋体"/>
          <w:kern w:val="0"/>
          <w:szCs w:val="21"/>
          <w:highlight w:val="none"/>
          <w:vertAlign w:val="superscript"/>
        </w:rPr>
        <w:t>1</w:t>
      </w:r>
      <w:r>
        <w:rPr>
          <w:rFonts w:hint="eastAsia" w:ascii="宋体" w:hAnsi="宋体" w:eastAsia="宋体" w:cs="宋体"/>
          <w:kern w:val="0"/>
          <w:szCs w:val="21"/>
          <w:highlight w:val="none"/>
          <w:vertAlign w:val="superscript"/>
          <w:lang w:val="en-US" w:eastAsia="zh-CN"/>
        </w:rPr>
        <w:t>4</w:t>
      </w:r>
      <w:r>
        <w:rPr>
          <w:rFonts w:hint="eastAsia" w:ascii="宋体" w:hAnsi="宋体" w:eastAsia="宋体" w:cs="宋体"/>
          <w:kern w:val="0"/>
          <w:szCs w:val="21"/>
          <w:highlight w:val="none"/>
        </w:rPr>
        <w:t>C</w:t>
      </w:r>
      <w:r>
        <w:rPr>
          <w:rFonts w:hint="eastAsia" w:ascii="宋体" w:hAnsi="宋体" w:eastAsia="宋体" w:cs="宋体"/>
          <w:kern w:val="0"/>
          <w:szCs w:val="21"/>
          <w:highlight w:val="none"/>
          <w:lang w:val="en-US" w:eastAsia="zh-CN"/>
        </w:rPr>
        <w:t>/</w:t>
      </w:r>
      <w:r>
        <w:rPr>
          <w:rFonts w:hint="eastAsia" w:ascii="宋体" w:hAnsi="宋体" w:eastAsia="宋体" w:cs="宋体"/>
          <w:kern w:val="0"/>
          <w:szCs w:val="21"/>
          <w:highlight w:val="none"/>
          <w:vertAlign w:val="superscript"/>
        </w:rPr>
        <w:t>1</w:t>
      </w:r>
      <w:r>
        <w:rPr>
          <w:rFonts w:hint="eastAsia" w:ascii="宋体" w:hAnsi="宋体" w:eastAsia="宋体" w:cs="宋体"/>
          <w:kern w:val="0"/>
          <w:szCs w:val="21"/>
          <w:highlight w:val="none"/>
          <w:vertAlign w:val="superscript"/>
          <w:lang w:val="en-US" w:eastAsia="zh-CN"/>
        </w:rPr>
        <w:t>2</w:t>
      </w:r>
      <w:r>
        <w:rPr>
          <w:rFonts w:hint="eastAsia" w:ascii="宋体" w:hAnsi="宋体" w:eastAsia="宋体" w:cs="宋体"/>
          <w:kern w:val="0"/>
          <w:szCs w:val="21"/>
          <w:highlight w:val="none"/>
        </w:rPr>
        <w:t>C</w:t>
      </w:r>
      <w:r>
        <w:rPr>
          <w:rFonts w:hint="eastAsia" w:ascii="宋体" w:hAnsi="宋体" w:eastAsia="宋体" w:cs="宋体"/>
          <w:kern w:val="0"/>
          <w:szCs w:val="21"/>
          <w:highlight w:val="none"/>
          <w:lang w:val="en-US" w:eastAsia="zh-CN"/>
        </w:rPr>
        <w:t>比值，以 δ</w:t>
      </w:r>
      <w:r>
        <w:rPr>
          <w:rFonts w:hint="eastAsia" w:ascii="宋体" w:hAnsi="宋体" w:eastAsia="宋体" w:cs="宋体"/>
          <w:kern w:val="0"/>
          <w:szCs w:val="21"/>
          <w:highlight w:val="none"/>
          <w:vertAlign w:val="superscript"/>
          <w:lang w:val="en-US" w:eastAsia="zh-CN"/>
        </w:rPr>
        <w:t>13</w:t>
      </w:r>
      <w:r>
        <w:rPr>
          <w:rFonts w:hint="eastAsia" w:ascii="宋体" w:hAnsi="宋体" w:eastAsia="宋体" w:cs="宋体"/>
          <w:kern w:val="0"/>
          <w:szCs w:val="21"/>
          <w:highlight w:val="none"/>
          <w:lang w:val="en-US" w:eastAsia="zh-CN"/>
        </w:rPr>
        <w:t>C = -25‰为标准化值；</w:t>
      </w:r>
    </w:p>
    <w:p>
      <w:pPr>
        <w:keepNext w:val="0"/>
        <w:keepLines w:val="0"/>
        <w:pageBreakBefore w:val="0"/>
        <w:kinsoku w:val="0"/>
        <w:wordWrap/>
        <w:overflowPunct w:val="0"/>
        <w:topLinePunct w:val="0"/>
        <w:autoSpaceDE w:val="0"/>
        <w:autoSpaceDN w:val="0"/>
        <w:bidi w:val="0"/>
        <w:adjustRightInd w:val="0"/>
        <w:snapToGrid/>
        <w:spacing w:line="240" w:lineRule="auto"/>
        <w:ind w:left="420" w:leftChars="0" w:firstLine="420" w:firstLineChars="200"/>
        <w:jc w:val="left"/>
        <w:textAlignment w:val="auto"/>
        <w:rPr>
          <w:rFonts w:hint="eastAsia" w:ascii="宋体" w:hAnsi="宋体" w:eastAsia="宋体" w:cs="宋体"/>
          <w:kern w:val="0"/>
          <w:szCs w:val="21"/>
          <w:highlight w:val="none"/>
        </w:rPr>
      </w:pPr>
      <w:r>
        <w:rPr>
          <w:rFonts w:hint="eastAsia" w:ascii="宋体" w:hAnsi="宋体" w:eastAsia="宋体" w:cs="宋体"/>
          <w:i/>
          <w:kern w:val="0"/>
          <w:szCs w:val="21"/>
          <w:highlight w:val="none"/>
        </w:rPr>
        <w:t>A</w:t>
      </w:r>
      <w:r>
        <w:rPr>
          <w:rFonts w:hint="eastAsia" w:ascii="宋体" w:hAnsi="宋体" w:eastAsia="宋体" w:cs="宋体"/>
          <w:kern w:val="0"/>
          <w:sz w:val="14"/>
          <w:szCs w:val="14"/>
          <w:highlight w:val="none"/>
        </w:rPr>
        <w:t>abs</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绝对标准值，1950年国际草酸OXI的放射性比活度的0.95倍。</w:t>
      </w:r>
    </w:p>
    <w:p>
      <w:pPr>
        <w:pStyle w:val="39"/>
        <w:keepNext w:val="0"/>
        <w:keepLines w:val="0"/>
        <w:pageBreakBefore w:val="0"/>
        <w:kinsoku/>
        <w:wordWrap/>
        <w:topLinePunct w:val="0"/>
        <w:bidi w:val="0"/>
        <w:snapToGrid/>
        <w:spacing w:line="240" w:lineRule="auto"/>
        <w:textAlignment w:val="auto"/>
        <w:rPr>
          <w:rFonts w:hint="default" w:ascii="Times New Roman" w:hAnsi="Times New Roman" w:eastAsia="宋体" w:cs="Times New Roman"/>
          <w:sz w:val="21"/>
          <w:szCs w:val="21"/>
        </w:rPr>
      </w:pPr>
    </w:p>
    <w:p>
      <w:pPr>
        <w:keepNext w:val="0"/>
        <w:keepLines w:val="0"/>
        <w:pageBreakBefore w:val="0"/>
        <w:kinsoku/>
        <w:wordWrap/>
        <w:topLinePunct w:val="0"/>
        <w:bidi w:val="0"/>
        <w:snapToGrid/>
        <w:spacing w:line="240" w:lineRule="auto"/>
        <w:textAlignment w:val="auto"/>
        <w:rPr>
          <w:rFonts w:hint="default" w:ascii="Times New Roman" w:hAnsi="Times New Roman" w:eastAsia="宋体" w:cs="Times New Roman"/>
          <w:color w:val="auto"/>
          <w:sz w:val="24"/>
          <w:szCs w:val="24"/>
          <w:lang w:val="en-US" w:eastAsia="zh-CN"/>
        </w:rPr>
      </w:pPr>
      <w:bookmarkStart w:id="63" w:name="_Toc32535"/>
      <w:r>
        <w:rPr>
          <w:rFonts w:hint="eastAsia"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.5.7质量保证和质量控制</w:t>
      </w:r>
      <w:bookmarkEnd w:id="63"/>
    </w:p>
    <w:p>
      <w:pPr>
        <w:keepNext w:val="0"/>
        <w:keepLines w:val="0"/>
        <w:pageBreakBefore w:val="0"/>
        <w:kinsoku/>
        <w:wordWrap/>
        <w:topLinePunct w:val="0"/>
        <w:bidi w:val="0"/>
        <w:snapToGrid/>
        <w:spacing w:line="240" w:lineRule="auto"/>
        <w:textAlignment w:val="auto"/>
        <w:rPr>
          <w:rFonts w:hint="default" w:ascii="Times New Roman" w:hAnsi="Times New Roman" w:eastAsia="宋体" w:cs="Times New Roman"/>
          <w:sz w:val="21"/>
          <w:szCs w:val="21"/>
        </w:rPr>
      </w:pPr>
      <w:bookmarkStart w:id="64" w:name="_Toc30603"/>
      <w:bookmarkStart w:id="65" w:name="_Toc2548"/>
      <w:bookmarkStart w:id="66" w:name="_Toc128676498"/>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 xml:space="preserve">.5.7.1 </w:t>
      </w:r>
      <w:r>
        <w:rPr>
          <w:rFonts w:hint="default" w:ascii="Times New Roman" w:hAnsi="Times New Roman" w:eastAsia="宋体" w:cs="Times New Roman"/>
          <w:sz w:val="21"/>
          <w:szCs w:val="21"/>
        </w:rPr>
        <w:t>样品采集</w:t>
      </w:r>
      <w:bookmarkEnd w:id="64"/>
      <w:bookmarkEnd w:id="65"/>
      <w:bookmarkEnd w:id="66"/>
    </w:p>
    <w:p>
      <w:pPr>
        <w:keepNext w:val="0"/>
        <w:keepLines w:val="0"/>
        <w:pageBreakBefore w:val="0"/>
        <w:kinsoku/>
        <w:wordWrap/>
        <w:topLinePunct w:val="0"/>
        <w:bidi w:val="0"/>
        <w:snapToGrid/>
        <w:spacing w:line="240" w:lineRule="auto"/>
        <w:ind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按照7.3中采样流程操作，每10个样品应至少采集1个平行样品。</w:t>
      </w:r>
    </w:p>
    <w:p>
      <w:pPr>
        <w:keepNext w:val="0"/>
        <w:keepLines w:val="0"/>
        <w:pageBreakBefore w:val="0"/>
        <w:kinsoku/>
        <w:wordWrap/>
        <w:topLinePunct w:val="0"/>
        <w:bidi w:val="0"/>
        <w:snapToGrid/>
        <w:spacing w:line="240" w:lineRule="auto"/>
        <w:textAlignment w:val="auto"/>
        <w:rPr>
          <w:rFonts w:hint="default" w:ascii="Times New Roman" w:hAnsi="Times New Roman" w:eastAsia="宋体" w:cs="Times New Roman"/>
          <w:sz w:val="21"/>
          <w:szCs w:val="21"/>
        </w:rPr>
      </w:pPr>
      <w:bookmarkStart w:id="67" w:name="_Toc1617"/>
      <w:bookmarkStart w:id="68" w:name="_Toc128676499"/>
      <w:bookmarkStart w:id="69" w:name="_Toc7201"/>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.5.7.2</w:t>
      </w:r>
      <w:r>
        <w:rPr>
          <w:rFonts w:hint="default" w:ascii="Times New Roman" w:hAnsi="Times New Roman" w:eastAsia="宋体" w:cs="Times New Roman"/>
          <w:sz w:val="21"/>
          <w:szCs w:val="21"/>
        </w:rPr>
        <w:t>样品前处理</w:t>
      </w:r>
      <w:bookmarkEnd w:id="67"/>
      <w:bookmarkEnd w:id="68"/>
      <w:bookmarkEnd w:id="69"/>
    </w:p>
    <w:p>
      <w:pPr>
        <w:keepNext w:val="0"/>
        <w:keepLines w:val="0"/>
        <w:pageBreakBefore w:val="0"/>
        <w:kinsoku/>
        <w:wordWrap/>
        <w:topLinePunct w:val="0"/>
        <w:bidi w:val="0"/>
        <w:snapToGrid/>
        <w:spacing w:line="240" w:lineRule="auto"/>
        <w:ind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采集</w:t>
      </w:r>
      <w:r>
        <w:rPr>
          <w:rFonts w:hint="default" w:ascii="Times New Roman" w:hAnsi="Times New Roman" w:eastAsia="宋体" w:cs="Times New Roman"/>
          <w:sz w:val="21"/>
          <w:szCs w:val="21"/>
          <w:lang w:eastAsia="zh-Hans"/>
        </w:rPr>
        <w:t>的</w:t>
      </w:r>
      <w:r>
        <w:rPr>
          <w:rFonts w:hint="default" w:ascii="Times New Roman" w:hAnsi="Times New Roman" w:eastAsia="宋体" w:cs="Times New Roman"/>
          <w:sz w:val="21"/>
          <w:szCs w:val="21"/>
        </w:rPr>
        <w:t>样品</w:t>
      </w:r>
      <w:r>
        <w:rPr>
          <w:rFonts w:hint="default" w:ascii="Times New Roman" w:hAnsi="Times New Roman" w:eastAsia="宋体" w:cs="Times New Roman"/>
          <w:sz w:val="21"/>
          <w:szCs w:val="21"/>
          <w:lang w:eastAsia="zh-Hans"/>
        </w:rPr>
        <w:t>应</w:t>
      </w:r>
      <w:r>
        <w:rPr>
          <w:rFonts w:hint="default" w:ascii="Times New Roman" w:hAnsi="Times New Roman" w:eastAsia="宋体" w:cs="Times New Roman"/>
          <w:sz w:val="21"/>
          <w:szCs w:val="21"/>
        </w:rPr>
        <w:t>尽快送</w:t>
      </w:r>
      <w:r>
        <w:rPr>
          <w:rFonts w:hint="default" w:ascii="Times New Roman" w:hAnsi="Times New Roman" w:eastAsia="宋体" w:cs="Times New Roman"/>
          <w:sz w:val="21"/>
          <w:szCs w:val="21"/>
          <w:lang w:eastAsia="zh-Hans"/>
        </w:rPr>
        <w:t>至</w:t>
      </w:r>
      <w:r>
        <w:rPr>
          <w:rFonts w:hint="default" w:ascii="Times New Roman" w:hAnsi="Times New Roman" w:eastAsia="宋体" w:cs="Times New Roman"/>
          <w:sz w:val="21"/>
          <w:szCs w:val="21"/>
        </w:rPr>
        <w:t>具备分析能力的实验室。</w:t>
      </w:r>
      <w:r>
        <w:rPr>
          <w:rFonts w:hint="default" w:ascii="Times New Roman" w:hAnsi="Times New Roman" w:eastAsia="宋体" w:cs="Times New Roman"/>
          <w:sz w:val="21"/>
          <w:szCs w:val="21"/>
          <w:lang w:eastAsia="zh-Hans"/>
        </w:rPr>
        <w:t>如</w:t>
      </w:r>
      <w:r>
        <w:rPr>
          <w:rFonts w:hint="default" w:ascii="Times New Roman" w:hAnsi="Times New Roman" w:eastAsia="宋体" w:cs="Times New Roman"/>
          <w:sz w:val="21"/>
          <w:szCs w:val="21"/>
        </w:rPr>
        <w:t>使用气袋采集，</w:t>
      </w:r>
      <w:r>
        <w:rPr>
          <w:rFonts w:hint="default" w:ascii="Times New Roman" w:hAnsi="Times New Roman" w:eastAsia="宋体" w:cs="Times New Roman"/>
          <w:sz w:val="21"/>
          <w:szCs w:val="21"/>
          <w:lang w:eastAsia="zh-Hans"/>
        </w:rPr>
        <w:t>宜</w:t>
      </w:r>
      <w:r>
        <w:rPr>
          <w:rFonts w:hint="default" w:ascii="Times New Roman" w:hAnsi="Times New Roman" w:eastAsia="宋体" w:cs="Times New Roman"/>
          <w:sz w:val="21"/>
          <w:szCs w:val="21"/>
        </w:rPr>
        <w:t>1周内完成前处理。实验室在完成多个城市站点CO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样品制备时，</w:t>
      </w:r>
      <w:r>
        <w:rPr>
          <w:rFonts w:hint="default" w:ascii="Times New Roman" w:hAnsi="Times New Roman" w:eastAsia="宋体" w:cs="Times New Roman"/>
          <w:sz w:val="21"/>
          <w:szCs w:val="21"/>
          <w:lang w:eastAsia="zh-Hans"/>
        </w:rPr>
        <w:t>应在</w:t>
      </w:r>
      <w:r>
        <w:rPr>
          <w:rFonts w:hint="default" w:ascii="Times New Roman" w:hAnsi="Times New Roman" w:eastAsia="宋体" w:cs="Times New Roman"/>
          <w:sz w:val="21"/>
          <w:szCs w:val="21"/>
        </w:rPr>
        <w:t>2个月内</w:t>
      </w:r>
      <w:r>
        <w:rPr>
          <w:rFonts w:hint="default" w:ascii="Times New Roman" w:hAnsi="Times New Roman" w:eastAsia="宋体" w:cs="Times New Roman"/>
          <w:sz w:val="21"/>
          <w:szCs w:val="21"/>
          <w:lang w:eastAsia="zh-Hans"/>
        </w:rPr>
        <w:t>对</w:t>
      </w:r>
      <w:r>
        <w:rPr>
          <w:rFonts w:hint="default" w:ascii="Times New Roman" w:hAnsi="Times New Roman" w:eastAsia="宋体" w:cs="Times New Roman"/>
          <w:sz w:val="21"/>
          <w:szCs w:val="21"/>
        </w:rPr>
        <w:t>每个城市</w:t>
      </w:r>
      <w:r>
        <w:rPr>
          <w:rFonts w:hint="default" w:ascii="Times New Roman" w:hAnsi="Times New Roman" w:eastAsia="宋体" w:cs="Times New Roman"/>
          <w:sz w:val="21"/>
          <w:szCs w:val="21"/>
          <w:lang w:eastAsia="zh-Hans"/>
        </w:rPr>
        <w:t>的</w:t>
      </w:r>
      <w:r>
        <w:rPr>
          <w:rFonts w:hint="default" w:ascii="Times New Roman" w:hAnsi="Times New Roman" w:eastAsia="宋体" w:cs="Times New Roman"/>
          <w:sz w:val="21"/>
          <w:szCs w:val="21"/>
        </w:rPr>
        <w:t>样品</w:t>
      </w:r>
      <w:r>
        <w:rPr>
          <w:rFonts w:hint="default" w:ascii="Times New Roman" w:hAnsi="Times New Roman" w:eastAsia="宋体" w:cs="Times New Roman"/>
          <w:sz w:val="21"/>
          <w:szCs w:val="21"/>
          <w:lang w:eastAsia="zh-Hans"/>
        </w:rPr>
        <w:t>进行</w:t>
      </w:r>
      <w:r>
        <w:rPr>
          <w:rFonts w:hint="default" w:ascii="Times New Roman" w:hAnsi="Times New Roman" w:eastAsia="宋体" w:cs="Times New Roman"/>
          <w:sz w:val="21"/>
          <w:szCs w:val="21"/>
        </w:rPr>
        <w:t>至少一次平行样的测试。</w:t>
      </w:r>
    </w:p>
    <w:p>
      <w:pPr>
        <w:keepNext w:val="0"/>
        <w:keepLines w:val="0"/>
        <w:pageBreakBefore w:val="0"/>
        <w:kinsoku/>
        <w:wordWrap/>
        <w:topLinePunct w:val="0"/>
        <w:bidi w:val="0"/>
        <w:snapToGrid/>
        <w:spacing w:line="240" w:lineRule="auto"/>
        <w:textAlignment w:val="auto"/>
        <w:rPr>
          <w:rFonts w:hint="default" w:ascii="Times New Roman" w:hAnsi="Times New Roman" w:eastAsia="宋体" w:cs="Times New Roman"/>
          <w:sz w:val="21"/>
          <w:szCs w:val="21"/>
        </w:rPr>
      </w:pPr>
      <w:bookmarkStart w:id="70" w:name="_Toc26043"/>
      <w:bookmarkStart w:id="71" w:name="_Toc128676500"/>
      <w:bookmarkStart w:id="72" w:name="_Toc29944"/>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.5.7.3</w:t>
      </w:r>
      <w:r>
        <w:rPr>
          <w:rFonts w:hint="default" w:ascii="Times New Roman" w:hAnsi="Times New Roman" w:eastAsia="宋体" w:cs="Times New Roman"/>
          <w:sz w:val="21"/>
          <w:szCs w:val="21"/>
        </w:rPr>
        <w:t>样品测试</w:t>
      </w:r>
      <w:bookmarkEnd w:id="70"/>
      <w:bookmarkEnd w:id="71"/>
      <w:bookmarkEnd w:id="72"/>
    </w:p>
    <w:p>
      <w:pPr>
        <w:keepNext w:val="0"/>
        <w:keepLines w:val="0"/>
        <w:pageBreakBefore w:val="0"/>
        <w:kinsoku/>
        <w:wordWrap/>
        <w:topLinePunct w:val="0"/>
        <w:bidi w:val="0"/>
        <w:snapToGrid/>
        <w:spacing w:line="240" w:lineRule="auto"/>
        <w:ind w:firstLine="42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AMS测定时应性能稳定，测量精度</w:t>
      </w:r>
      <w:r>
        <w:rPr>
          <w:rFonts w:hint="default" w:ascii="Times New Roman" w:hAnsi="Times New Roman" w:eastAsia="宋体" w:cs="Times New Roman"/>
          <w:sz w:val="21"/>
          <w:szCs w:val="21"/>
          <w:lang w:eastAsia="zh-Hans"/>
        </w:rPr>
        <w:t>为</w:t>
      </w:r>
      <w:r>
        <w:rPr>
          <w:rFonts w:hint="default" w:ascii="Times New Roman" w:hAnsi="Times New Roman" w:eastAsia="宋体" w:cs="Times New Roman"/>
          <w:sz w:val="21"/>
          <w:szCs w:val="21"/>
        </w:rPr>
        <w:t>2.0‰，次级标样测量值符合表2要求。实验室应定期参加国际固体样品</w:t>
      </w:r>
      <w:r>
        <w:rPr>
          <w:rFonts w:hint="default" w:ascii="Times New Roman" w:hAnsi="Times New Roman" w:eastAsia="宋体" w:cs="Times New Roman"/>
          <w:sz w:val="21"/>
          <w:szCs w:val="21"/>
          <w:vertAlign w:val="superscript"/>
        </w:rPr>
        <w:t>14</w:t>
      </w:r>
      <w:r>
        <w:rPr>
          <w:rFonts w:hint="default" w:ascii="Times New Roman" w:hAnsi="Times New Roman" w:eastAsia="宋体" w:cs="Times New Roman"/>
          <w:sz w:val="21"/>
          <w:szCs w:val="21"/>
        </w:rPr>
        <w:t>C测量比对，有条件下参与国内/国外实验室之间的大气</w:t>
      </w:r>
      <w:r>
        <w:rPr>
          <w:rFonts w:hint="default" w:ascii="Times New Roman" w:hAnsi="Times New Roman" w:eastAsia="宋体" w:cs="Times New Roman"/>
          <w:sz w:val="21"/>
          <w:szCs w:val="21"/>
          <w:vertAlign w:val="superscript"/>
        </w:rPr>
        <w:t>14</w:t>
      </w:r>
      <w:r>
        <w:rPr>
          <w:rFonts w:hint="default" w:ascii="Times New Roman" w:hAnsi="Times New Roman" w:eastAsia="宋体" w:cs="Times New Roman"/>
          <w:sz w:val="21"/>
          <w:szCs w:val="21"/>
        </w:rPr>
        <w:t>CO</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的AMS测量比对。</w:t>
      </w:r>
      <w:r>
        <w:rPr>
          <w:rFonts w:hint="default" w:ascii="Times New Roman" w:hAnsi="Times New Roman" w:eastAsia="宋体" w:cs="Times New Roman"/>
          <w:sz w:val="21"/>
          <w:szCs w:val="21"/>
          <w:lang w:eastAsia="zh-Hans"/>
        </w:rPr>
        <w:t>若</w:t>
      </w:r>
      <w:r>
        <w:rPr>
          <w:rFonts w:hint="default" w:ascii="Times New Roman" w:hAnsi="Times New Roman" w:eastAsia="宋体" w:cs="Times New Roman"/>
          <w:sz w:val="21"/>
          <w:szCs w:val="21"/>
        </w:rPr>
        <w:t>无法</w:t>
      </w:r>
      <w:r>
        <w:rPr>
          <w:rFonts w:hint="default" w:ascii="Times New Roman" w:hAnsi="Times New Roman" w:eastAsia="宋体" w:cs="Times New Roman"/>
          <w:sz w:val="21"/>
          <w:szCs w:val="21"/>
          <w:lang w:eastAsia="zh-Hans"/>
        </w:rPr>
        <w:t>进行</w:t>
      </w:r>
      <w:r>
        <w:rPr>
          <w:rFonts w:hint="default" w:ascii="Times New Roman" w:hAnsi="Times New Roman" w:eastAsia="宋体" w:cs="Times New Roman"/>
          <w:sz w:val="21"/>
          <w:szCs w:val="21"/>
        </w:rPr>
        <w:t>外部AMS实验室间测量比对，可利用标准气体作为参考对象进行长周期的制样与监测，以确保实验室在制样过程中数据水平不随时间产生明显的偏移。</w:t>
      </w:r>
    </w:p>
    <w:p>
      <w:pPr>
        <w:pageBreakBefore w:val="0"/>
        <w:kinsoku/>
        <w:wordWrap/>
        <w:topLinePunct w:val="0"/>
        <w:bidi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表2 实验室</w:t>
      </w:r>
      <w:r>
        <w:rPr>
          <w:rFonts w:hint="default" w:ascii="Times New Roman" w:hAnsi="Times New Roman" w:eastAsia="宋体" w:cs="Times New Roman"/>
          <w:sz w:val="21"/>
          <w:szCs w:val="21"/>
          <w:vertAlign w:val="superscript"/>
        </w:rPr>
        <w:t>14</w:t>
      </w:r>
      <w:r>
        <w:rPr>
          <w:rFonts w:hint="default" w:ascii="Times New Roman" w:hAnsi="Times New Roman" w:eastAsia="宋体" w:cs="Times New Roman"/>
          <w:sz w:val="21"/>
          <w:szCs w:val="21"/>
        </w:rPr>
        <w:t>C标准样品参考值</w:t>
      </w:r>
    </w:p>
    <w:tbl>
      <w:tblPr>
        <w:tblStyle w:val="17"/>
        <w:tblW w:w="50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44"/>
        <w:gridCol w:w="1801"/>
        <w:gridCol w:w="2245"/>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材料</w:t>
            </w:r>
          </w:p>
        </w:tc>
        <w:tc>
          <w:tcPr>
            <w:tcW w:w="134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superscript"/>
              </w:rPr>
              <w:t>14</w:t>
            </w:r>
            <w:r>
              <w:rPr>
                <w:rFonts w:hint="default" w:ascii="Times New Roman" w:hAnsi="Times New Roman" w:eastAsia="宋体" w:cs="Times New Roman"/>
                <w:sz w:val="21"/>
                <w:szCs w:val="21"/>
              </w:rPr>
              <w:t>C (pMC)</w:t>
            </w:r>
          </w:p>
        </w:tc>
        <w:tc>
          <w:tcPr>
            <w:tcW w:w="1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OXII</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草酸</w:t>
            </w:r>
          </w:p>
        </w:tc>
        <w:tc>
          <w:tcPr>
            <w:tcW w:w="134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134.07</w:t>
            </w:r>
          </w:p>
        </w:tc>
        <w:tc>
          <w:tcPr>
            <w:tcW w:w="1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中国糖碳CSC</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糖碳</w:t>
            </w:r>
          </w:p>
        </w:tc>
        <w:tc>
          <w:tcPr>
            <w:tcW w:w="134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135.33 ± 0.34</w:t>
            </w:r>
          </w:p>
        </w:tc>
        <w:tc>
          <w:tcPr>
            <w:tcW w:w="1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122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本底（有机）</w:t>
            </w:r>
          </w:p>
        </w:tc>
        <w:tc>
          <w:tcPr>
            <w:tcW w:w="107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煤</w:t>
            </w:r>
          </w:p>
        </w:tc>
        <w:tc>
          <w:tcPr>
            <w:tcW w:w="1345"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&lt;0.25</w:t>
            </w:r>
          </w:p>
        </w:tc>
        <w:tc>
          <w:tcPr>
            <w:tcW w:w="1349" w:type="pc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48000</w:t>
            </w:r>
          </w:p>
        </w:tc>
      </w:tr>
    </w:tbl>
    <w:p>
      <w:pPr>
        <w:pageBreakBefore w:val="0"/>
        <w:widowControl w:val="0"/>
        <w:kinsoku/>
        <w:wordWrap/>
        <w:overflowPunct/>
        <w:topLinePunct w:val="0"/>
        <w:autoSpaceDE/>
        <w:autoSpaceDN/>
        <w:bidi w:val="0"/>
        <w:adjustRightInd/>
        <w:spacing w:line="240" w:lineRule="auto"/>
        <w:textAlignment w:val="auto"/>
        <w:rPr>
          <w:rFonts w:hint="default" w:ascii="Times New Roman" w:hAnsi="Times New Roman" w:eastAsia="宋体" w:cs="Times New Roman"/>
          <w:sz w:val="21"/>
          <w:szCs w:val="21"/>
        </w:rPr>
      </w:pPr>
      <w:bookmarkStart w:id="73" w:name="_Toc1355"/>
      <w:bookmarkStart w:id="74" w:name="_Toc3194"/>
      <w:r>
        <w:rPr>
          <w:rFonts w:hint="eastAsia"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lang w:val="en-US" w:eastAsia="zh-CN"/>
        </w:rPr>
        <w:t>.5.7.4</w:t>
      </w:r>
      <w:r>
        <w:rPr>
          <w:rFonts w:hint="default" w:ascii="Times New Roman" w:hAnsi="Times New Roman" w:eastAsia="宋体" w:cs="Times New Roman"/>
          <w:sz w:val="21"/>
          <w:szCs w:val="21"/>
          <w:lang w:val="en-US" w:eastAsia="zh-CN"/>
        </w:rPr>
        <w:tab/>
      </w:r>
      <w:r>
        <w:rPr>
          <w:rFonts w:hint="default" w:ascii="Times New Roman" w:hAnsi="Times New Roman" w:eastAsia="宋体" w:cs="Times New Roman"/>
          <w:sz w:val="21"/>
          <w:szCs w:val="21"/>
        </w:rPr>
        <w:t>质控样准备</w:t>
      </w:r>
      <w:bookmarkEnd w:id="73"/>
      <w:bookmarkEnd w:id="74"/>
    </w:p>
    <w:p>
      <w:pPr>
        <w:pageBreakBefore w:val="0"/>
        <w:widowControl w:val="0"/>
        <w:kinsoku/>
        <w:wordWrap/>
        <w:overflowPunct/>
        <w:topLinePunct w:val="0"/>
        <w:autoSpaceDE/>
        <w:autoSpaceDN/>
        <w:bidi w:val="0"/>
        <w:adjustRightInd/>
        <w:spacing w:line="240" w:lineRule="auto"/>
        <w:ind w:firstLine="420" w:firstLineChars="0"/>
        <w:textAlignment w:val="auto"/>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质控样应多于有效样品的5%～10%。</w:t>
      </w:r>
      <w:r>
        <w:rPr>
          <w:rFonts w:hint="default" w:ascii="Times New Roman" w:hAnsi="Times New Roman" w:eastAsia="宋体" w:cs="Times New Roman"/>
          <w:kern w:val="0"/>
          <w:sz w:val="21"/>
          <w:szCs w:val="21"/>
          <w:lang w:val="en-US" w:eastAsia="zh-CN"/>
        </w:rPr>
        <w:t xml:space="preserve">  </w:t>
      </w:r>
      <w:bookmarkEnd w:id="30"/>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44"/>
          <w:sz w:val="24"/>
          <w:szCs w:val="24"/>
          <w:lang w:val="en-US" w:eastAsia="zh-CN" w:bidi="ar-SA"/>
        </w:rPr>
      </w:pPr>
      <w:bookmarkStart w:id="75" w:name="_Toc6632"/>
      <w:r>
        <w:rPr>
          <w:rFonts w:hint="eastAsia" w:ascii="Times New Roman" w:hAnsi="Times New Roman" w:eastAsia="宋体" w:cs="Times New Roman"/>
          <w:b/>
          <w:bCs/>
          <w:kern w:val="44"/>
          <w:sz w:val="24"/>
          <w:szCs w:val="24"/>
          <w:lang w:val="en-US" w:eastAsia="zh-CN" w:bidi="ar-SA"/>
        </w:rPr>
        <w:t xml:space="preserve">8  </w:t>
      </w:r>
      <w:r>
        <w:rPr>
          <w:rFonts w:hint="default" w:ascii="Times New Roman" w:hAnsi="Times New Roman" w:eastAsia="宋体" w:cs="Times New Roman"/>
          <w:b/>
          <w:bCs/>
          <w:kern w:val="44"/>
          <w:sz w:val="24"/>
          <w:szCs w:val="24"/>
          <w:lang w:val="en-US" w:eastAsia="zh-CN" w:bidi="ar-SA"/>
        </w:rPr>
        <w:t>采标情况</w:t>
      </w:r>
      <w:bookmarkEnd w:id="75"/>
    </w:p>
    <w:p>
      <w:pPr>
        <w:pageBreakBefore w:val="0"/>
        <w:widowControl w:val="0"/>
        <w:kinsoku/>
        <w:wordWrap/>
        <w:overflowPunct/>
        <w:topLinePunct w:val="0"/>
        <w:autoSpaceDE/>
        <w:autoSpaceDN/>
        <w:bidi w:val="0"/>
        <w:adjustRightInd/>
        <w:spacing w:line="240" w:lineRule="auto"/>
        <w:ind w:firstLine="420" w:firstLineChars="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温室气体碳同位素手工监测尚无</w:t>
      </w:r>
      <w:r>
        <w:rPr>
          <w:rFonts w:hint="default" w:ascii="Times New Roman" w:hAnsi="Times New Roman" w:eastAsia="宋体" w:cs="Times New Roman"/>
          <w:sz w:val="21"/>
          <w:szCs w:val="21"/>
          <w:highlight w:val="none"/>
        </w:rPr>
        <w:t>相关</w:t>
      </w:r>
      <w:r>
        <w:rPr>
          <w:rFonts w:hint="default" w:ascii="Times New Roman" w:hAnsi="Times New Roman" w:eastAsia="宋体" w:cs="Times New Roman"/>
          <w:sz w:val="21"/>
          <w:szCs w:val="21"/>
          <w:highlight w:val="none"/>
          <w:lang w:val="en-US" w:eastAsia="zh-CN"/>
        </w:rPr>
        <w:t>国家标准、行业标准</w:t>
      </w:r>
      <w:r>
        <w:rPr>
          <w:rFonts w:hint="eastAsia" w:ascii="Times New Roman" w:hAnsi="Times New Roman" w:eastAsia="宋体" w:cs="Times New Roman"/>
          <w:sz w:val="21"/>
          <w:szCs w:val="21"/>
          <w:highlight w:val="none"/>
          <w:lang w:val="en-US" w:eastAsia="zh-CN"/>
        </w:rPr>
        <w:t>和地方标准</w:t>
      </w:r>
      <w:r>
        <w:rPr>
          <w:rFonts w:hint="default" w:ascii="Times New Roman" w:hAnsi="Times New Roman" w:eastAsia="宋体" w:cs="Times New Roman"/>
          <w:sz w:val="21"/>
          <w:szCs w:val="21"/>
          <w:highlight w:val="none"/>
          <w:lang w:val="en-US" w:eastAsia="zh-CN"/>
        </w:rPr>
        <w:t>。</w:t>
      </w:r>
    </w:p>
    <w:p>
      <w:pPr>
        <w:pStyle w:val="2"/>
        <w:keepNext/>
        <w:keepLines/>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kern w:val="44"/>
          <w:sz w:val="24"/>
          <w:szCs w:val="24"/>
          <w:highlight w:val="none"/>
          <w:lang w:val="en-US" w:eastAsia="zh-CN" w:bidi="ar-SA"/>
        </w:rPr>
      </w:pPr>
      <w:bookmarkStart w:id="76" w:name="_Toc30717"/>
      <w:r>
        <w:rPr>
          <w:rFonts w:hint="eastAsia" w:ascii="Times New Roman" w:hAnsi="Times New Roman" w:eastAsia="宋体" w:cs="Times New Roman"/>
          <w:b/>
          <w:bCs/>
          <w:kern w:val="44"/>
          <w:sz w:val="24"/>
          <w:szCs w:val="24"/>
          <w:highlight w:val="none"/>
          <w:lang w:val="en-US" w:eastAsia="zh-CN" w:bidi="ar-SA"/>
        </w:rPr>
        <w:t xml:space="preserve">9  </w:t>
      </w:r>
      <w:r>
        <w:rPr>
          <w:rFonts w:hint="default" w:ascii="Times New Roman" w:hAnsi="Times New Roman" w:eastAsia="宋体" w:cs="Times New Roman"/>
          <w:b/>
          <w:bCs/>
          <w:kern w:val="44"/>
          <w:sz w:val="24"/>
          <w:szCs w:val="24"/>
          <w:highlight w:val="none"/>
          <w:lang w:val="en-US" w:eastAsia="zh-CN" w:bidi="ar-SA"/>
        </w:rPr>
        <w:t>其他应予以说明的事项</w:t>
      </w:r>
      <w:bookmarkEnd w:id="76"/>
      <w:bookmarkStart w:id="77" w:name="_Toc470274560"/>
    </w:p>
    <w:p>
      <w:pPr>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1"/>
          <w:szCs w:val="21"/>
          <w:highlight w:val="none"/>
        </w:rPr>
        <w:t>《技术规范》起草过程中，得到了陕西省市场监督管理局、陕西省生态环境厅、</w:t>
      </w:r>
      <w:r>
        <w:rPr>
          <w:rFonts w:hint="default" w:ascii="Times New Roman" w:hAnsi="Times New Roman" w:eastAsia="宋体" w:cs="Times New Roman"/>
          <w:sz w:val="21"/>
          <w:szCs w:val="21"/>
          <w:highlight w:val="none"/>
          <w:lang w:val="en-US" w:eastAsia="zh-CN"/>
        </w:rPr>
        <w:t>铜川市</w:t>
      </w:r>
      <w:r>
        <w:rPr>
          <w:rFonts w:hint="eastAsia" w:ascii="Times New Roman" w:hAnsi="Times New Roman" w:eastAsia="宋体" w:cs="Times New Roman"/>
          <w:sz w:val="21"/>
          <w:szCs w:val="21"/>
          <w:highlight w:val="none"/>
          <w:lang w:eastAsia="zh-CN"/>
        </w:rPr>
        <w:t>生态环境</w:t>
      </w:r>
      <w:r>
        <w:rPr>
          <w:rFonts w:hint="default" w:ascii="Times New Roman" w:hAnsi="Times New Roman" w:eastAsia="宋体" w:cs="Times New Roman"/>
          <w:sz w:val="21"/>
          <w:szCs w:val="21"/>
          <w:highlight w:val="none"/>
        </w:rPr>
        <w:t>局的大力支持，在此深表谢意！</w:t>
      </w:r>
      <w:bookmarkEnd w:id="77"/>
      <w:bookmarkStart w:id="78" w:name="_GoBack"/>
      <w:bookmarkEnd w:id="78"/>
    </w:p>
    <w:p>
      <w:pPr>
        <w:pageBreakBefore w:val="0"/>
        <w:kinsoku/>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p>
    <w:p>
      <w:pPr>
        <w:pageBreakBefore w:val="0"/>
        <w:kinsoku/>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p>
    <w:sectPr>
      <w:footerReference r:id="rId6" w:type="default"/>
      <w:type w:val="continuous"/>
      <w:pgSz w:w="11906" w:h="16838"/>
      <w:pgMar w:top="1440" w:right="1800" w:bottom="1440" w:left="1800" w:header="851" w:footer="992"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等线 Light">
    <w:altName w:val="URW Bookman"/>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姚体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FreeMono">
    <w:panose1 w:val="020F0409020205020404"/>
    <w:charset w:val="00"/>
    <w:family w:val="auto"/>
    <w:pitch w:val="default"/>
    <w:sig w:usb0="E4002EFF" w:usb1="C2007FFF" w:usb2="00209028" w:usb3="00100000" w:csb0="600001FF" w:csb1="FFFF0000"/>
  </w:font>
  <w:font w:name="华文楷体">
    <w:panose1 w:val="02010600040101010101"/>
    <w:charset w:val="86"/>
    <w:family w:val="auto"/>
    <w:pitch w:val="default"/>
    <w:sig w:usb0="00000287" w:usb1="080F0000" w:usb2="00000000" w:usb3="00000000" w:csb0="0004009F" w:csb1="DFD70000"/>
  </w:font>
  <w:font w:name="方正书宋简体">
    <w:panose1 w:val="02010601030101010101"/>
    <w:charset w:val="86"/>
    <w:family w:val="auto"/>
    <w:pitch w:val="default"/>
    <w:sig w:usb0="00000001" w:usb1="080E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5</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FBCD3"/>
    <w:multiLevelType w:val="singleLevel"/>
    <w:tmpl w:val="9BFFBCD3"/>
    <w:lvl w:ilvl="0" w:tentative="0">
      <w:start w:val="2"/>
      <w:numFmt w:val="decimal"/>
      <w:suff w:val="space"/>
      <w:lvlText w:val="%1."/>
      <w:lvlJc w:val="left"/>
    </w:lvl>
  </w:abstractNum>
  <w:abstractNum w:abstractNumId="1">
    <w:nsid w:val="AED854D3"/>
    <w:multiLevelType w:val="singleLevel"/>
    <w:tmpl w:val="AED854D3"/>
    <w:lvl w:ilvl="0" w:tentative="0">
      <w:start w:val="1"/>
      <w:numFmt w:val="lowerLetter"/>
      <w:suff w:val="nothing"/>
      <w:lvlText w:val="%1）"/>
      <w:lvlJc w:val="left"/>
    </w:lvl>
  </w:abstractNum>
  <w:abstractNum w:abstractNumId="2">
    <w:nsid w:val="0305FA5A"/>
    <w:multiLevelType w:val="singleLevel"/>
    <w:tmpl w:val="0305FA5A"/>
    <w:lvl w:ilvl="0" w:tentative="0">
      <w:start w:val="1"/>
      <w:numFmt w:val="decimal"/>
      <w:lvlText w:val="%1."/>
      <w:lvlJc w:val="left"/>
      <w:pPr>
        <w:tabs>
          <w:tab w:val="left" w:pos="420"/>
        </w:tabs>
        <w:ind w:left="845" w:hanging="425"/>
      </w:pPr>
      <w:rPr>
        <w:rFonts w:hint="default"/>
      </w:rPr>
    </w:lvl>
  </w:abstractNum>
  <w:abstractNum w:abstractNumId="3">
    <w:nsid w:val="1FC91163"/>
    <w:multiLevelType w:val="multilevel"/>
    <w:tmpl w:val="1FC91163"/>
    <w:lvl w:ilvl="0" w:tentative="0">
      <w:start w:val="1"/>
      <w:numFmt w:val="decimal"/>
      <w:pStyle w:val="5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4"/>
      <w:suff w:val="nothing"/>
      <w:lvlText w:val="%1.%2.%3　"/>
      <w:lvlJc w:val="left"/>
      <w:pPr>
        <w:ind w:left="845"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A9F67E2"/>
    <w:multiLevelType w:val="singleLevel"/>
    <w:tmpl w:val="3A9F67E2"/>
    <w:lvl w:ilvl="0" w:tentative="0">
      <w:start w:val="1"/>
      <w:numFmt w:val="decimal"/>
      <w:suff w:val="space"/>
      <w:lvlText w:val="%1."/>
      <w:lvlJc w:val="left"/>
    </w:lvl>
  </w:abstractNum>
  <w:abstractNum w:abstractNumId="5">
    <w:nsid w:val="6290017D"/>
    <w:multiLevelType w:val="multilevel"/>
    <w:tmpl w:val="6290017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zMDg0NzNiMTc3OGExNDM2NTRjYTQ5ZDc4NDdiZmYifQ=="/>
  </w:docVars>
  <w:rsids>
    <w:rsidRoot w:val="00C70ACA"/>
    <w:rsid w:val="00011E7C"/>
    <w:rsid w:val="000268E2"/>
    <w:rsid w:val="00026AD8"/>
    <w:rsid w:val="00040C94"/>
    <w:rsid w:val="000544A6"/>
    <w:rsid w:val="00056EDA"/>
    <w:rsid w:val="00070075"/>
    <w:rsid w:val="00070E4A"/>
    <w:rsid w:val="00071054"/>
    <w:rsid w:val="000712BA"/>
    <w:rsid w:val="00072F30"/>
    <w:rsid w:val="00074B26"/>
    <w:rsid w:val="00080A39"/>
    <w:rsid w:val="00091CBD"/>
    <w:rsid w:val="00094771"/>
    <w:rsid w:val="000B344B"/>
    <w:rsid w:val="000C034F"/>
    <w:rsid w:val="000C69D0"/>
    <w:rsid w:val="000C7742"/>
    <w:rsid w:val="000D7848"/>
    <w:rsid w:val="000E35C3"/>
    <w:rsid w:val="001105DD"/>
    <w:rsid w:val="00126A7B"/>
    <w:rsid w:val="00132ADD"/>
    <w:rsid w:val="00137B1B"/>
    <w:rsid w:val="00151747"/>
    <w:rsid w:val="00152728"/>
    <w:rsid w:val="00153F52"/>
    <w:rsid w:val="001552EE"/>
    <w:rsid w:val="00167868"/>
    <w:rsid w:val="00167CC4"/>
    <w:rsid w:val="00170815"/>
    <w:rsid w:val="001712A8"/>
    <w:rsid w:val="001751E8"/>
    <w:rsid w:val="001945D3"/>
    <w:rsid w:val="001955A8"/>
    <w:rsid w:val="001B5CA2"/>
    <w:rsid w:val="001D348F"/>
    <w:rsid w:val="001D54D0"/>
    <w:rsid w:val="001F08E6"/>
    <w:rsid w:val="001F6C4D"/>
    <w:rsid w:val="00200F27"/>
    <w:rsid w:val="00205496"/>
    <w:rsid w:val="00205AD7"/>
    <w:rsid w:val="00211840"/>
    <w:rsid w:val="002171CD"/>
    <w:rsid w:val="002240C6"/>
    <w:rsid w:val="0023262F"/>
    <w:rsid w:val="0023712F"/>
    <w:rsid w:val="00247D1F"/>
    <w:rsid w:val="002551E2"/>
    <w:rsid w:val="00264117"/>
    <w:rsid w:val="00271743"/>
    <w:rsid w:val="002801C6"/>
    <w:rsid w:val="00283FB4"/>
    <w:rsid w:val="002847E6"/>
    <w:rsid w:val="00297A75"/>
    <w:rsid w:val="002A30BD"/>
    <w:rsid w:val="002C007A"/>
    <w:rsid w:val="002C62D4"/>
    <w:rsid w:val="002D2C71"/>
    <w:rsid w:val="002E0E90"/>
    <w:rsid w:val="00311E68"/>
    <w:rsid w:val="0032748C"/>
    <w:rsid w:val="003335C1"/>
    <w:rsid w:val="003343E3"/>
    <w:rsid w:val="00343281"/>
    <w:rsid w:val="003524BA"/>
    <w:rsid w:val="00382191"/>
    <w:rsid w:val="00386588"/>
    <w:rsid w:val="003A696A"/>
    <w:rsid w:val="003A6FFC"/>
    <w:rsid w:val="003A76BC"/>
    <w:rsid w:val="003B2754"/>
    <w:rsid w:val="003B424B"/>
    <w:rsid w:val="003B74CD"/>
    <w:rsid w:val="003E753C"/>
    <w:rsid w:val="003F3A4D"/>
    <w:rsid w:val="004027DE"/>
    <w:rsid w:val="00411383"/>
    <w:rsid w:val="004131C5"/>
    <w:rsid w:val="0041534F"/>
    <w:rsid w:val="004238B4"/>
    <w:rsid w:val="00444455"/>
    <w:rsid w:val="004520D3"/>
    <w:rsid w:val="00456754"/>
    <w:rsid w:val="004604E8"/>
    <w:rsid w:val="004622F4"/>
    <w:rsid w:val="00472FD3"/>
    <w:rsid w:val="004843AF"/>
    <w:rsid w:val="00487847"/>
    <w:rsid w:val="004900E5"/>
    <w:rsid w:val="00495EEB"/>
    <w:rsid w:val="004B3B76"/>
    <w:rsid w:val="004B3DE4"/>
    <w:rsid w:val="004D6CD2"/>
    <w:rsid w:val="004E3B2D"/>
    <w:rsid w:val="004E6942"/>
    <w:rsid w:val="004F2451"/>
    <w:rsid w:val="004F47D1"/>
    <w:rsid w:val="004F7731"/>
    <w:rsid w:val="00504A90"/>
    <w:rsid w:val="00514FAD"/>
    <w:rsid w:val="00516D48"/>
    <w:rsid w:val="005255B2"/>
    <w:rsid w:val="00526CC3"/>
    <w:rsid w:val="00546E76"/>
    <w:rsid w:val="00555C9D"/>
    <w:rsid w:val="00580C16"/>
    <w:rsid w:val="00580F5B"/>
    <w:rsid w:val="00584975"/>
    <w:rsid w:val="00593319"/>
    <w:rsid w:val="005B17C1"/>
    <w:rsid w:val="005B232B"/>
    <w:rsid w:val="005B4F3E"/>
    <w:rsid w:val="005B507A"/>
    <w:rsid w:val="005C3371"/>
    <w:rsid w:val="005C3F97"/>
    <w:rsid w:val="005D1286"/>
    <w:rsid w:val="005D5073"/>
    <w:rsid w:val="005E0F56"/>
    <w:rsid w:val="005E4EAF"/>
    <w:rsid w:val="005F09EC"/>
    <w:rsid w:val="005F67BA"/>
    <w:rsid w:val="006031A6"/>
    <w:rsid w:val="00613ACF"/>
    <w:rsid w:val="0062542D"/>
    <w:rsid w:val="00636B09"/>
    <w:rsid w:val="00640E1D"/>
    <w:rsid w:val="006473EA"/>
    <w:rsid w:val="006479E1"/>
    <w:rsid w:val="00653C1F"/>
    <w:rsid w:val="00655B8F"/>
    <w:rsid w:val="006726B8"/>
    <w:rsid w:val="00672996"/>
    <w:rsid w:val="00687263"/>
    <w:rsid w:val="00690339"/>
    <w:rsid w:val="006903F2"/>
    <w:rsid w:val="00696DF4"/>
    <w:rsid w:val="006A6DAE"/>
    <w:rsid w:val="006B10FA"/>
    <w:rsid w:val="006B25D3"/>
    <w:rsid w:val="006C3985"/>
    <w:rsid w:val="006E42B7"/>
    <w:rsid w:val="006E5E70"/>
    <w:rsid w:val="006E71A8"/>
    <w:rsid w:val="006F41E1"/>
    <w:rsid w:val="006F6574"/>
    <w:rsid w:val="006F7EC9"/>
    <w:rsid w:val="00713BB2"/>
    <w:rsid w:val="007179FD"/>
    <w:rsid w:val="0073344A"/>
    <w:rsid w:val="00760268"/>
    <w:rsid w:val="00763205"/>
    <w:rsid w:val="00767B35"/>
    <w:rsid w:val="00771757"/>
    <w:rsid w:val="00787E9D"/>
    <w:rsid w:val="00795493"/>
    <w:rsid w:val="007A259D"/>
    <w:rsid w:val="007B048B"/>
    <w:rsid w:val="007B0E3B"/>
    <w:rsid w:val="007B2964"/>
    <w:rsid w:val="007B47A3"/>
    <w:rsid w:val="007E4346"/>
    <w:rsid w:val="007E4380"/>
    <w:rsid w:val="007E50D6"/>
    <w:rsid w:val="007F451A"/>
    <w:rsid w:val="00801727"/>
    <w:rsid w:val="00812D2A"/>
    <w:rsid w:val="00813D56"/>
    <w:rsid w:val="00824301"/>
    <w:rsid w:val="00825DBB"/>
    <w:rsid w:val="00827985"/>
    <w:rsid w:val="008359A1"/>
    <w:rsid w:val="00841D8A"/>
    <w:rsid w:val="0085269B"/>
    <w:rsid w:val="00855F15"/>
    <w:rsid w:val="008569E0"/>
    <w:rsid w:val="008666CA"/>
    <w:rsid w:val="00875FC9"/>
    <w:rsid w:val="008824E9"/>
    <w:rsid w:val="008872CA"/>
    <w:rsid w:val="00887722"/>
    <w:rsid w:val="00893FD4"/>
    <w:rsid w:val="008A0B40"/>
    <w:rsid w:val="008A4857"/>
    <w:rsid w:val="008A4D39"/>
    <w:rsid w:val="008B1D7A"/>
    <w:rsid w:val="008B57B6"/>
    <w:rsid w:val="008D22D2"/>
    <w:rsid w:val="008D445C"/>
    <w:rsid w:val="008E53B1"/>
    <w:rsid w:val="008F629B"/>
    <w:rsid w:val="008F7350"/>
    <w:rsid w:val="00907AE9"/>
    <w:rsid w:val="00926FB5"/>
    <w:rsid w:val="009527C5"/>
    <w:rsid w:val="009640BD"/>
    <w:rsid w:val="0096710E"/>
    <w:rsid w:val="00993FDD"/>
    <w:rsid w:val="009A2FC3"/>
    <w:rsid w:val="009B3E6F"/>
    <w:rsid w:val="009C27A5"/>
    <w:rsid w:val="009C67D0"/>
    <w:rsid w:val="009F1AEE"/>
    <w:rsid w:val="009F2B51"/>
    <w:rsid w:val="00A0174B"/>
    <w:rsid w:val="00A13610"/>
    <w:rsid w:val="00A31972"/>
    <w:rsid w:val="00A33D0A"/>
    <w:rsid w:val="00A559EB"/>
    <w:rsid w:val="00A65CE0"/>
    <w:rsid w:val="00A672DE"/>
    <w:rsid w:val="00A67524"/>
    <w:rsid w:val="00A72603"/>
    <w:rsid w:val="00A762E3"/>
    <w:rsid w:val="00A772BC"/>
    <w:rsid w:val="00AA0756"/>
    <w:rsid w:val="00AA07C1"/>
    <w:rsid w:val="00AA18E1"/>
    <w:rsid w:val="00AA1B43"/>
    <w:rsid w:val="00AB25CA"/>
    <w:rsid w:val="00AB36A4"/>
    <w:rsid w:val="00AB529A"/>
    <w:rsid w:val="00AC5C7A"/>
    <w:rsid w:val="00AC7F3B"/>
    <w:rsid w:val="00AD6CE2"/>
    <w:rsid w:val="00AD743B"/>
    <w:rsid w:val="00B12EBF"/>
    <w:rsid w:val="00B14585"/>
    <w:rsid w:val="00B210F0"/>
    <w:rsid w:val="00B25A1F"/>
    <w:rsid w:val="00B36902"/>
    <w:rsid w:val="00B40A4E"/>
    <w:rsid w:val="00B42C03"/>
    <w:rsid w:val="00B50483"/>
    <w:rsid w:val="00B57C86"/>
    <w:rsid w:val="00B66561"/>
    <w:rsid w:val="00B74965"/>
    <w:rsid w:val="00B768ED"/>
    <w:rsid w:val="00B80C06"/>
    <w:rsid w:val="00B8185C"/>
    <w:rsid w:val="00B945DF"/>
    <w:rsid w:val="00BA3749"/>
    <w:rsid w:val="00BA6843"/>
    <w:rsid w:val="00BB4F40"/>
    <w:rsid w:val="00BC2E67"/>
    <w:rsid w:val="00BC7A23"/>
    <w:rsid w:val="00BF27D7"/>
    <w:rsid w:val="00C10293"/>
    <w:rsid w:val="00C14E2C"/>
    <w:rsid w:val="00C20D3C"/>
    <w:rsid w:val="00C26E22"/>
    <w:rsid w:val="00C340C9"/>
    <w:rsid w:val="00C351C4"/>
    <w:rsid w:val="00C36842"/>
    <w:rsid w:val="00C402F5"/>
    <w:rsid w:val="00C506F3"/>
    <w:rsid w:val="00C546A2"/>
    <w:rsid w:val="00C64DD7"/>
    <w:rsid w:val="00C6534B"/>
    <w:rsid w:val="00C671F5"/>
    <w:rsid w:val="00C67B6E"/>
    <w:rsid w:val="00C70ACA"/>
    <w:rsid w:val="00C82216"/>
    <w:rsid w:val="00C8402C"/>
    <w:rsid w:val="00C84826"/>
    <w:rsid w:val="00C949E7"/>
    <w:rsid w:val="00CA05E9"/>
    <w:rsid w:val="00CA1686"/>
    <w:rsid w:val="00CA2390"/>
    <w:rsid w:val="00CA35A6"/>
    <w:rsid w:val="00CC00DE"/>
    <w:rsid w:val="00CD2034"/>
    <w:rsid w:val="00CD58CE"/>
    <w:rsid w:val="00CD5B58"/>
    <w:rsid w:val="00CE37BA"/>
    <w:rsid w:val="00CE3A2F"/>
    <w:rsid w:val="00D00446"/>
    <w:rsid w:val="00D067A5"/>
    <w:rsid w:val="00D0755D"/>
    <w:rsid w:val="00D1418C"/>
    <w:rsid w:val="00D20120"/>
    <w:rsid w:val="00D202B7"/>
    <w:rsid w:val="00D333B1"/>
    <w:rsid w:val="00D40B12"/>
    <w:rsid w:val="00D446A2"/>
    <w:rsid w:val="00D55CB1"/>
    <w:rsid w:val="00D63746"/>
    <w:rsid w:val="00D644F3"/>
    <w:rsid w:val="00D82463"/>
    <w:rsid w:val="00D82E67"/>
    <w:rsid w:val="00D83252"/>
    <w:rsid w:val="00D85E74"/>
    <w:rsid w:val="00D90AB9"/>
    <w:rsid w:val="00DC6C2E"/>
    <w:rsid w:val="00DC6DC2"/>
    <w:rsid w:val="00DF2A4D"/>
    <w:rsid w:val="00DF355E"/>
    <w:rsid w:val="00E14397"/>
    <w:rsid w:val="00E244D6"/>
    <w:rsid w:val="00E270F0"/>
    <w:rsid w:val="00E40BE8"/>
    <w:rsid w:val="00E447FC"/>
    <w:rsid w:val="00E45374"/>
    <w:rsid w:val="00E57440"/>
    <w:rsid w:val="00E6221B"/>
    <w:rsid w:val="00E83E7B"/>
    <w:rsid w:val="00E87C05"/>
    <w:rsid w:val="00EA5FB7"/>
    <w:rsid w:val="00EB2903"/>
    <w:rsid w:val="00EC50B3"/>
    <w:rsid w:val="00EC5213"/>
    <w:rsid w:val="00ED16B9"/>
    <w:rsid w:val="00ED3ED5"/>
    <w:rsid w:val="00ED41E3"/>
    <w:rsid w:val="00ED7F5C"/>
    <w:rsid w:val="00EE5640"/>
    <w:rsid w:val="00EF0A0A"/>
    <w:rsid w:val="00EF21C3"/>
    <w:rsid w:val="00EF3D6A"/>
    <w:rsid w:val="00F07936"/>
    <w:rsid w:val="00F20BBA"/>
    <w:rsid w:val="00F23A9C"/>
    <w:rsid w:val="00F26858"/>
    <w:rsid w:val="00F42371"/>
    <w:rsid w:val="00F60A37"/>
    <w:rsid w:val="00F625A1"/>
    <w:rsid w:val="00F62A24"/>
    <w:rsid w:val="00F6358E"/>
    <w:rsid w:val="00F637C5"/>
    <w:rsid w:val="00F763C0"/>
    <w:rsid w:val="00FA2B12"/>
    <w:rsid w:val="00FA769A"/>
    <w:rsid w:val="00FB4541"/>
    <w:rsid w:val="00FB556B"/>
    <w:rsid w:val="00FC0690"/>
    <w:rsid w:val="00FC28B1"/>
    <w:rsid w:val="00FC6826"/>
    <w:rsid w:val="00FD002D"/>
    <w:rsid w:val="00FE0A48"/>
    <w:rsid w:val="00FE3A9C"/>
    <w:rsid w:val="00FF5D4E"/>
    <w:rsid w:val="014B5991"/>
    <w:rsid w:val="036B0023"/>
    <w:rsid w:val="03FC2E16"/>
    <w:rsid w:val="0743342E"/>
    <w:rsid w:val="08396096"/>
    <w:rsid w:val="08B90204"/>
    <w:rsid w:val="0A094CF7"/>
    <w:rsid w:val="0ABB5DE6"/>
    <w:rsid w:val="0BD609E0"/>
    <w:rsid w:val="0C787D7B"/>
    <w:rsid w:val="0D2440ED"/>
    <w:rsid w:val="0DD759F4"/>
    <w:rsid w:val="0EEA4998"/>
    <w:rsid w:val="0F824F3D"/>
    <w:rsid w:val="10DF21CB"/>
    <w:rsid w:val="126B1CDA"/>
    <w:rsid w:val="13DB1905"/>
    <w:rsid w:val="16622249"/>
    <w:rsid w:val="17940574"/>
    <w:rsid w:val="17E578D9"/>
    <w:rsid w:val="19E37CE1"/>
    <w:rsid w:val="1A5D006D"/>
    <w:rsid w:val="1A9534C5"/>
    <w:rsid w:val="1B38282C"/>
    <w:rsid w:val="1FB00B0C"/>
    <w:rsid w:val="1FBE209B"/>
    <w:rsid w:val="1FDF05F3"/>
    <w:rsid w:val="205A219A"/>
    <w:rsid w:val="20812D5B"/>
    <w:rsid w:val="2333536B"/>
    <w:rsid w:val="25543CE9"/>
    <w:rsid w:val="26176E7E"/>
    <w:rsid w:val="26A10E3D"/>
    <w:rsid w:val="28642123"/>
    <w:rsid w:val="29593C1C"/>
    <w:rsid w:val="2A91368D"/>
    <w:rsid w:val="2ACC15C7"/>
    <w:rsid w:val="2BC00159"/>
    <w:rsid w:val="2DF312D0"/>
    <w:rsid w:val="2E324DE9"/>
    <w:rsid w:val="2F824EBF"/>
    <w:rsid w:val="306959D0"/>
    <w:rsid w:val="30D77B6A"/>
    <w:rsid w:val="314A536E"/>
    <w:rsid w:val="320316F6"/>
    <w:rsid w:val="33C347EA"/>
    <w:rsid w:val="38854612"/>
    <w:rsid w:val="38DE0EC6"/>
    <w:rsid w:val="39D71645"/>
    <w:rsid w:val="39E439A5"/>
    <w:rsid w:val="3AB5670F"/>
    <w:rsid w:val="3CEB3EE4"/>
    <w:rsid w:val="3E354B04"/>
    <w:rsid w:val="3E9B6EC4"/>
    <w:rsid w:val="41226994"/>
    <w:rsid w:val="41261BCE"/>
    <w:rsid w:val="428B532A"/>
    <w:rsid w:val="43965845"/>
    <w:rsid w:val="43E41123"/>
    <w:rsid w:val="448A687F"/>
    <w:rsid w:val="45C81E3F"/>
    <w:rsid w:val="47FC1520"/>
    <w:rsid w:val="484E11E9"/>
    <w:rsid w:val="48602822"/>
    <w:rsid w:val="49042646"/>
    <w:rsid w:val="4A302F3B"/>
    <w:rsid w:val="4C7130F3"/>
    <w:rsid w:val="4E072BD7"/>
    <w:rsid w:val="4FC670F7"/>
    <w:rsid w:val="50473893"/>
    <w:rsid w:val="53356E5E"/>
    <w:rsid w:val="588770C0"/>
    <w:rsid w:val="5B073593"/>
    <w:rsid w:val="5D8E4F9C"/>
    <w:rsid w:val="5FEA0D6F"/>
    <w:rsid w:val="60F536ED"/>
    <w:rsid w:val="61181EDB"/>
    <w:rsid w:val="633B0E5C"/>
    <w:rsid w:val="63714F7A"/>
    <w:rsid w:val="63A84B00"/>
    <w:rsid w:val="64902410"/>
    <w:rsid w:val="65C85707"/>
    <w:rsid w:val="663D33D8"/>
    <w:rsid w:val="67F24A7A"/>
    <w:rsid w:val="680F65F8"/>
    <w:rsid w:val="69614EB7"/>
    <w:rsid w:val="6B8A3587"/>
    <w:rsid w:val="6C624513"/>
    <w:rsid w:val="6C84700F"/>
    <w:rsid w:val="6D8A778A"/>
    <w:rsid w:val="6E5A6247"/>
    <w:rsid w:val="6F9B3EEF"/>
    <w:rsid w:val="71B6178D"/>
    <w:rsid w:val="723250B9"/>
    <w:rsid w:val="72361171"/>
    <w:rsid w:val="723F3303"/>
    <w:rsid w:val="725857A5"/>
    <w:rsid w:val="72F9470A"/>
    <w:rsid w:val="73CF052A"/>
    <w:rsid w:val="748A4F6E"/>
    <w:rsid w:val="779800D0"/>
    <w:rsid w:val="78E719A5"/>
    <w:rsid w:val="796D33CA"/>
    <w:rsid w:val="7A235EE4"/>
    <w:rsid w:val="7DFA11CE"/>
    <w:rsid w:val="7F324A89"/>
    <w:rsid w:val="7F96090C"/>
    <w:rsid w:val="FF6F7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9"/>
    <w:pPr>
      <w:keepNext/>
      <w:keepLines/>
      <w:spacing w:before="120" w:after="120" w:line="560" w:lineRule="exact"/>
      <w:outlineLvl w:val="0"/>
    </w:pPr>
    <w:rPr>
      <w:rFonts w:eastAsia="黑体"/>
      <w:b/>
      <w:bCs/>
      <w:kern w:val="44"/>
      <w:sz w:val="30"/>
      <w:szCs w:val="44"/>
    </w:rPr>
  </w:style>
  <w:style w:type="paragraph" w:styleId="3">
    <w:name w:val="heading 2"/>
    <w:basedOn w:val="1"/>
    <w:next w:val="1"/>
    <w:link w:val="24"/>
    <w:unhideWhenUsed/>
    <w:qFormat/>
    <w:uiPriority w:val="99"/>
    <w:pPr>
      <w:keepNext/>
      <w:keepLines/>
      <w:spacing w:before="120" w:after="120"/>
      <w:outlineLvl w:val="1"/>
    </w:pPr>
    <w:rPr>
      <w:rFonts w:eastAsia="黑体" w:asciiTheme="majorHAnsi" w:hAnsiTheme="majorHAnsi" w:cstheme="majorBidi"/>
      <w:b/>
      <w:bCs/>
      <w:szCs w:val="32"/>
    </w:rPr>
  </w:style>
  <w:style w:type="paragraph" w:styleId="4">
    <w:name w:val="heading 3"/>
    <w:basedOn w:val="1"/>
    <w:next w:val="1"/>
    <w:link w:val="29"/>
    <w:unhideWhenUsed/>
    <w:qFormat/>
    <w:uiPriority w:val="9"/>
    <w:pPr>
      <w:keepNext/>
      <w:keepLines/>
      <w:spacing w:line="560" w:lineRule="exact"/>
      <w:ind w:firstLine="200" w:firstLineChars="200"/>
      <w:outlineLvl w:val="2"/>
    </w:pPr>
    <w:rPr>
      <w:bCs/>
      <w:sz w:val="24"/>
      <w:szCs w:val="32"/>
    </w:rPr>
  </w:style>
  <w:style w:type="paragraph" w:styleId="5">
    <w:name w:val="heading 5"/>
    <w:basedOn w:val="1"/>
    <w:next w:val="1"/>
    <w:link w:val="30"/>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46"/>
    <w:qFormat/>
    <w:uiPriority w:val="0"/>
    <w:pPr>
      <w:jc w:val="left"/>
    </w:pPr>
    <w:rPr>
      <w:szCs w:val="24"/>
    </w:rPr>
  </w:style>
  <w:style w:type="paragraph" w:styleId="7">
    <w:name w:val="toc 3"/>
    <w:basedOn w:val="1"/>
    <w:next w:val="1"/>
    <w:semiHidden/>
    <w:unhideWhenUsed/>
    <w:qFormat/>
    <w:uiPriority w:val="39"/>
    <w:pPr>
      <w:ind w:left="840" w:leftChars="400"/>
    </w:pPr>
  </w:style>
  <w:style w:type="paragraph" w:styleId="8">
    <w:name w:val="Date"/>
    <w:basedOn w:val="1"/>
    <w:next w:val="1"/>
    <w:link w:val="31"/>
    <w:semiHidden/>
    <w:unhideWhenUsed/>
    <w:qFormat/>
    <w:uiPriority w:val="99"/>
    <w:pPr>
      <w:ind w:left="100" w:leftChars="2500"/>
    </w:pPr>
  </w:style>
  <w:style w:type="paragraph" w:styleId="9">
    <w:name w:val="Balloon Text"/>
    <w:basedOn w:val="1"/>
    <w:link w:val="32"/>
    <w:semiHidden/>
    <w:unhideWhenUsed/>
    <w:qFormat/>
    <w:uiPriority w:val="99"/>
    <w:rPr>
      <w:sz w:val="18"/>
      <w:szCs w:val="18"/>
    </w:rPr>
  </w:style>
  <w:style w:type="paragraph" w:styleId="10">
    <w:name w:val="footer"/>
    <w:basedOn w:val="1"/>
    <w:link w:val="33"/>
    <w:unhideWhenUsed/>
    <w:qFormat/>
    <w:uiPriority w:val="0"/>
    <w:pPr>
      <w:tabs>
        <w:tab w:val="center" w:pos="4153"/>
        <w:tab w:val="right" w:pos="8306"/>
      </w:tabs>
      <w:snapToGrid w:val="0"/>
      <w:jc w:val="left"/>
    </w:pPr>
    <w:rPr>
      <w:sz w:val="18"/>
      <w:szCs w:val="18"/>
    </w:rPr>
  </w:style>
  <w:style w:type="paragraph" w:styleId="11">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rPr>
      <w:sz w:val="24"/>
    </w:rPr>
  </w:style>
  <w:style w:type="paragraph" w:styleId="15">
    <w:name w:val="Title"/>
    <w:basedOn w:val="1"/>
    <w:next w:val="1"/>
    <w:link w:val="35"/>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51"/>
    <w:semiHidden/>
    <w:unhideWhenUsed/>
    <w:qFormat/>
    <w:uiPriority w:val="99"/>
    <w:rPr>
      <w:b/>
      <w:bCs/>
      <w:szCs w:val="22"/>
    </w:rPr>
  </w:style>
  <w:style w:type="table" w:styleId="18">
    <w:name w:val="Table Grid"/>
    <w:basedOn w:val="1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semiHidden/>
    <w:qFormat/>
    <w:uiPriority w:val="0"/>
    <w:rPr>
      <w:rFonts w:cs="Times New Roman"/>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character" w:customStyle="1" w:styleId="23">
    <w:name w:val="标题 1 字符"/>
    <w:basedOn w:val="19"/>
    <w:link w:val="2"/>
    <w:qFormat/>
    <w:uiPriority w:val="99"/>
    <w:rPr>
      <w:rFonts w:eastAsia="黑体"/>
      <w:b/>
      <w:bCs/>
      <w:kern w:val="44"/>
      <w:sz w:val="30"/>
      <w:szCs w:val="44"/>
    </w:rPr>
  </w:style>
  <w:style w:type="character" w:customStyle="1" w:styleId="24">
    <w:name w:val="标题 2 字符"/>
    <w:basedOn w:val="19"/>
    <w:link w:val="3"/>
    <w:qFormat/>
    <w:uiPriority w:val="99"/>
    <w:rPr>
      <w:rFonts w:eastAsia="黑体" w:asciiTheme="majorHAnsi" w:hAnsiTheme="majorHAnsi" w:cstheme="majorBidi"/>
      <w:b/>
      <w:bCs/>
      <w:szCs w:val="32"/>
    </w:rPr>
  </w:style>
  <w:style w:type="paragraph" w:customStyle="1" w:styleId="25">
    <w:name w:val="Default"/>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9">
    <w:name w:val="标题 3 字符"/>
    <w:basedOn w:val="19"/>
    <w:link w:val="4"/>
    <w:qFormat/>
    <w:uiPriority w:val="9"/>
    <w:rPr>
      <w:bCs/>
      <w:sz w:val="24"/>
      <w:szCs w:val="32"/>
    </w:rPr>
  </w:style>
  <w:style w:type="character" w:customStyle="1" w:styleId="30">
    <w:name w:val="标题 5 字符"/>
    <w:basedOn w:val="19"/>
    <w:link w:val="5"/>
    <w:semiHidden/>
    <w:qFormat/>
    <w:uiPriority w:val="9"/>
    <w:rPr>
      <w:b/>
      <w:bCs/>
      <w:sz w:val="28"/>
      <w:szCs w:val="28"/>
    </w:rPr>
  </w:style>
  <w:style w:type="character" w:customStyle="1" w:styleId="31">
    <w:name w:val="日期 字符"/>
    <w:basedOn w:val="19"/>
    <w:link w:val="8"/>
    <w:semiHidden/>
    <w:qFormat/>
    <w:uiPriority w:val="99"/>
  </w:style>
  <w:style w:type="character" w:customStyle="1" w:styleId="32">
    <w:name w:val="批注框文本 字符"/>
    <w:basedOn w:val="19"/>
    <w:link w:val="9"/>
    <w:semiHidden/>
    <w:qFormat/>
    <w:uiPriority w:val="99"/>
    <w:rPr>
      <w:sz w:val="18"/>
      <w:szCs w:val="18"/>
    </w:rPr>
  </w:style>
  <w:style w:type="character" w:customStyle="1" w:styleId="33">
    <w:name w:val="页脚 字符"/>
    <w:basedOn w:val="19"/>
    <w:link w:val="10"/>
    <w:qFormat/>
    <w:uiPriority w:val="0"/>
    <w:rPr>
      <w:sz w:val="18"/>
      <w:szCs w:val="18"/>
    </w:rPr>
  </w:style>
  <w:style w:type="character" w:customStyle="1" w:styleId="34">
    <w:name w:val="页眉 字符"/>
    <w:basedOn w:val="19"/>
    <w:link w:val="11"/>
    <w:qFormat/>
    <w:uiPriority w:val="0"/>
    <w:rPr>
      <w:sz w:val="18"/>
      <w:szCs w:val="18"/>
    </w:rPr>
  </w:style>
  <w:style w:type="character" w:customStyle="1" w:styleId="35">
    <w:name w:val="标题 字符"/>
    <w:basedOn w:val="19"/>
    <w:link w:val="15"/>
    <w:qFormat/>
    <w:uiPriority w:val="10"/>
    <w:rPr>
      <w:rFonts w:asciiTheme="majorHAnsi" w:hAnsiTheme="majorHAnsi" w:eastAsiaTheme="majorEastAsia" w:cstheme="majorBidi"/>
      <w:b/>
      <w:bCs/>
      <w:sz w:val="32"/>
      <w:szCs w:val="32"/>
    </w:rPr>
  </w:style>
  <w:style w:type="paragraph" w:styleId="36">
    <w:name w:val="List Paragraph"/>
    <w:basedOn w:val="1"/>
    <w:qFormat/>
    <w:uiPriority w:val="34"/>
    <w:pPr>
      <w:ind w:firstLine="420" w:firstLineChars="200"/>
    </w:pPr>
  </w:style>
  <w:style w:type="paragraph" w:customStyle="1" w:styleId="37">
    <w:name w:val="四级标题"/>
    <w:basedOn w:val="15"/>
    <w:link w:val="38"/>
    <w:qFormat/>
    <w:uiPriority w:val="0"/>
    <w:pPr>
      <w:spacing w:before="60"/>
      <w:jc w:val="left"/>
      <w:outlineLvl w:val="3"/>
    </w:pPr>
    <w:rPr>
      <w:rFonts w:eastAsia="宋体"/>
      <w:sz w:val="28"/>
    </w:rPr>
  </w:style>
  <w:style w:type="character" w:customStyle="1" w:styleId="38">
    <w:name w:val="四级标题 字符"/>
    <w:basedOn w:val="35"/>
    <w:link w:val="37"/>
    <w:qFormat/>
    <w:uiPriority w:val="0"/>
    <w:rPr>
      <w:rFonts w:eastAsia="宋体" w:asciiTheme="majorHAnsi" w:hAnsiTheme="majorHAnsi" w:cstheme="majorBidi"/>
      <w:sz w:val="28"/>
      <w:szCs w:val="32"/>
    </w:rPr>
  </w:style>
  <w:style w:type="paragraph" w:customStyle="1" w:styleId="39">
    <w:name w:val="段"/>
    <w:basedOn w:val="1"/>
    <w:link w:val="40"/>
    <w:qFormat/>
    <w:uiPriority w:val="0"/>
    <w:pPr>
      <w:widowControl/>
      <w:tabs>
        <w:tab w:val="center" w:pos="4201"/>
        <w:tab w:val="right" w:leader="dot" w:pos="9298"/>
      </w:tabs>
      <w:autoSpaceDE w:val="0"/>
      <w:autoSpaceDN w:val="0"/>
      <w:ind w:firstLine="420" w:firstLineChars="200"/>
    </w:pPr>
    <w:rPr>
      <w:rFonts w:ascii="宋体" w:hAnsi="Times New Roman" w:eastAsia="宋体" w:cs="Times New Roman"/>
      <w:kern w:val="0"/>
      <w:szCs w:val="20"/>
    </w:rPr>
  </w:style>
  <w:style w:type="character" w:customStyle="1" w:styleId="40">
    <w:name w:val="段 Char"/>
    <w:basedOn w:val="19"/>
    <w:link w:val="39"/>
    <w:qFormat/>
    <w:uiPriority w:val="0"/>
    <w:rPr>
      <w:rFonts w:ascii="宋体" w:hAnsi="Times New Roman" w:eastAsia="宋体" w:cs="Times New Roman"/>
      <w:kern w:val="0"/>
      <w:szCs w:val="20"/>
    </w:rPr>
  </w:style>
  <w:style w:type="character" w:customStyle="1" w:styleId="41">
    <w:name w:val="标题 1 Char"/>
    <w:qFormat/>
    <w:uiPriority w:val="99"/>
    <w:rPr>
      <w:b/>
      <w:bCs/>
      <w:kern w:val="44"/>
      <w:sz w:val="44"/>
      <w:szCs w:val="44"/>
    </w:rPr>
  </w:style>
  <w:style w:type="character" w:customStyle="1" w:styleId="42">
    <w:name w:val="标题 2 Char"/>
    <w:qFormat/>
    <w:uiPriority w:val="99"/>
    <w:rPr>
      <w:rFonts w:ascii="Cambria" w:hAnsi="Cambria" w:eastAsia="宋体" w:cs="Times New Roman"/>
      <w:b/>
      <w:bCs/>
      <w:kern w:val="2"/>
      <w:sz w:val="32"/>
      <w:szCs w:val="32"/>
    </w:rPr>
  </w:style>
  <w:style w:type="paragraph" w:customStyle="1" w:styleId="43">
    <w:name w:val="一级条标题"/>
    <w:next w:val="39"/>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4">
    <w:name w:val="new1"/>
    <w:qFormat/>
    <w:uiPriority w:val="0"/>
  </w:style>
  <w:style w:type="paragraph" w:customStyle="1" w:styleId="45">
    <w:name w:val="_Style 11"/>
    <w:basedOn w:val="1"/>
    <w:next w:val="36"/>
    <w:qFormat/>
    <w:uiPriority w:val="34"/>
    <w:pPr>
      <w:ind w:firstLine="420" w:firstLineChars="200"/>
    </w:pPr>
    <w:rPr>
      <w:rFonts w:ascii="Calibri" w:hAnsi="Calibri"/>
    </w:rPr>
  </w:style>
  <w:style w:type="character" w:customStyle="1" w:styleId="46">
    <w:name w:val="批注文字 字符"/>
    <w:basedOn w:val="19"/>
    <w:link w:val="6"/>
    <w:qFormat/>
    <w:uiPriority w:val="0"/>
    <w:rPr>
      <w:szCs w:val="24"/>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48">
    <w:name w:val="表格"/>
    <w:basedOn w:val="1"/>
    <w:qFormat/>
    <w:uiPriority w:val="0"/>
    <w:pPr>
      <w:widowControl/>
      <w:spacing w:line="240" w:lineRule="atLeast"/>
    </w:pPr>
    <w:rPr>
      <w:rFonts w:eastAsia="仿宋"/>
      <w:kern w:val="0"/>
      <w:sz w:val="24"/>
      <w:szCs w:val="20"/>
    </w:rPr>
  </w:style>
  <w:style w:type="paragraph" w:customStyle="1" w:styleId="49">
    <w:name w:val="二级无"/>
    <w:basedOn w:val="1"/>
    <w:qFormat/>
    <w:uiPriority w:val="0"/>
    <w:pPr>
      <w:widowControl/>
      <w:jc w:val="left"/>
      <w:outlineLvl w:val="3"/>
    </w:pPr>
    <w:rPr>
      <w:rFonts w:ascii="宋体" w:hAnsi="Times New Roman" w:eastAsia="宋体" w:cs="Times New Roman"/>
      <w:kern w:val="0"/>
      <w:szCs w:val="21"/>
    </w:rPr>
  </w:style>
  <w:style w:type="character" w:customStyle="1" w:styleId="50">
    <w:name w:val="fontstyle01"/>
    <w:basedOn w:val="19"/>
    <w:qFormat/>
    <w:uiPriority w:val="0"/>
    <w:rPr>
      <w:rFonts w:hint="eastAsia" w:ascii="宋体" w:hAnsi="宋体" w:eastAsia="宋体"/>
      <w:color w:val="000000"/>
      <w:sz w:val="22"/>
      <w:szCs w:val="22"/>
    </w:rPr>
  </w:style>
  <w:style w:type="character" w:customStyle="1" w:styleId="51">
    <w:name w:val="批注主题 字符"/>
    <w:basedOn w:val="46"/>
    <w:link w:val="16"/>
    <w:semiHidden/>
    <w:qFormat/>
    <w:uiPriority w:val="99"/>
    <w:rPr>
      <w:rFonts w:asciiTheme="minorHAnsi" w:hAnsiTheme="minorHAnsi" w:eastAsiaTheme="minorEastAsia" w:cstheme="minorBidi"/>
      <w:b/>
      <w:bCs/>
      <w:kern w:val="2"/>
      <w:sz w:val="21"/>
      <w:szCs w:val="22"/>
    </w:rPr>
  </w:style>
  <w:style w:type="paragraph" w:customStyle="1" w:styleId="5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3">
    <w:name w:val="章标题"/>
    <w:next w:val="3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4">
    <w:name w:val="二级条标题"/>
    <w:basedOn w:val="43"/>
    <w:next w:val="39"/>
    <w:qFormat/>
    <w:uiPriority w:val="0"/>
    <w:pPr>
      <w:numPr>
        <w:ilvl w:val="2"/>
        <w:numId w:val="1"/>
      </w:numPr>
      <w:spacing w:before="50" w:after="50"/>
      <w:outlineLvl w:val="3"/>
    </w:pPr>
  </w:style>
  <w:style w:type="paragraph" w:customStyle="1" w:styleId="55">
    <w:name w:val="Table Paragraph"/>
    <w:basedOn w:val="1"/>
    <w:qFormat/>
    <w:uiPriority w:val="1"/>
    <w:pPr>
      <w:autoSpaceDE w:val="0"/>
      <w:autoSpaceDN w:val="0"/>
      <w:adjustRightInd w:val="0"/>
      <w:jc w:val="center"/>
    </w:pPr>
    <w:rPr>
      <w:kern w:val="0"/>
      <w:sz w:val="24"/>
    </w:rPr>
  </w:style>
  <w:style w:type="paragraph" w:customStyle="1" w:styleId="56">
    <w:name w:val="目次、标准名称标题"/>
    <w:basedOn w:val="1"/>
    <w:next w:val="3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59">
    <w:name w:val="fontstyle11"/>
    <w:basedOn w:val="19"/>
    <w:qFormat/>
    <w:uiPriority w:val="0"/>
    <w:rPr>
      <w:rFonts w:hint="eastAsia" w:ascii="宋体" w:hAnsi="宋体" w:eastAsia="宋体" w:cs="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emf"/><Relationship Id="rId21" Type="http://schemas.openxmlformats.org/officeDocument/2006/relationships/image" Target="media/image9.jpe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9117</Words>
  <Characters>10184</Characters>
  <Lines>71</Lines>
  <Paragraphs>20</Paragraphs>
  <TotalTime>28</TotalTime>
  <ScaleCrop>false</ScaleCrop>
  <LinksUpToDate>false</LinksUpToDate>
  <CharactersWithSpaces>10514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2023-12-15T14:38:00Z</dcterms:created>
  <dc:creator>admin</dc:creator>
  <cp:lastModifiedBy>user</cp:lastModifiedBy>
  <cp:lastPrinted>2022-06-06T14:55:00Z</cp:lastPrinted>
  <dcterms:modified xsi:type="dcterms:W3CDTF">2024-07-25T17:42:02Z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77C90AD3E8E5403FAC74C8983C26B291_13</vt:lpwstr>
  </property>
</Properties>
</file>