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62" w:line="188" w:lineRule="exact"/>
        <w:ind w:left="238"/>
        <w:jc w:val="left"/>
        <w:rPr>
          <w:rFonts w:ascii="Times New Roman"/>
          <w:lang w:eastAsia="zh-CN"/>
        </w:rPr>
      </w:pPr>
      <w:r>
        <w:rPr>
          <w:rFonts w:ascii="Times New Roman"/>
          <w:lang w:eastAsia="zh-CN"/>
        </w:rPr>
        <w:t>ICS</w:t>
      </w:r>
    </w:p>
    <w:p>
      <w:pPr>
        <w:spacing w:line="1051" w:lineRule="exact"/>
        <w:ind w:right="728"/>
        <w:jc w:val="right"/>
        <w:rPr>
          <w:rFonts w:ascii="Times New Roman"/>
          <w:b/>
          <w:sz w:val="96"/>
          <w:lang w:eastAsia="zh-CN"/>
        </w:rPr>
      </w:pPr>
      <w:r>
        <w:rPr>
          <w:rFonts w:ascii="Times New Roman"/>
          <w:b/>
          <w:w w:val="130"/>
          <w:sz w:val="96"/>
          <w:lang w:eastAsia="zh-CN"/>
        </w:rPr>
        <w:t>DB</w:t>
      </w:r>
    </w:p>
    <w:p>
      <w:pPr>
        <w:pStyle w:val="6"/>
        <w:spacing w:before="4"/>
        <w:jc w:val="both"/>
        <w:rPr>
          <w:rFonts w:ascii="Times New Roman"/>
          <w:b/>
          <w:sz w:val="25"/>
          <w:lang w:eastAsia="zh-CN"/>
        </w:rPr>
      </w:pPr>
    </w:p>
    <w:p>
      <w:pPr>
        <w:keepNext w:val="0"/>
        <w:keepLines w:val="0"/>
        <w:pageBreakBefore w:val="0"/>
        <w:widowControl w:val="0"/>
        <w:tabs>
          <w:tab w:val="left" w:pos="1676"/>
          <w:tab w:val="left" w:pos="3113"/>
          <w:tab w:val="left" w:pos="4551"/>
          <w:tab w:val="left" w:pos="5988"/>
          <w:tab w:val="left" w:pos="7423"/>
          <w:tab w:val="left" w:pos="8859"/>
        </w:tabs>
        <w:kinsoku/>
        <w:wordWrap/>
        <w:overflowPunct/>
        <w:topLinePunct w:val="0"/>
        <w:autoSpaceDE w:val="0"/>
        <w:autoSpaceDN w:val="0"/>
        <w:bidi w:val="0"/>
        <w:adjustRightInd/>
        <w:snapToGrid/>
        <w:spacing w:before="28"/>
        <w:ind w:left="238"/>
        <w:jc w:val="center"/>
        <w:textAlignment w:val="auto"/>
        <w:outlineLvl w:val="9"/>
        <w:rPr>
          <w:rFonts w:ascii="黑体" w:hAnsi="黑体" w:eastAsia="黑体" w:cs="黑体"/>
          <w:sz w:val="52"/>
          <w:szCs w:val="52"/>
          <w:lang w:eastAsia="zh-CN"/>
        </w:rPr>
      </w:pPr>
      <w:r>
        <w:rPr>
          <w:rFonts w:ascii="黑体" w:hAnsi="黑体" w:eastAsia="黑体" w:cs="黑体"/>
          <w:sz w:val="52"/>
          <w:szCs w:val="52"/>
          <w:lang w:eastAsia="zh-CN"/>
        </w:rPr>
        <w:t>陕</w:t>
      </w:r>
      <w:r>
        <w:rPr>
          <w:rFonts w:ascii="黑体" w:hAnsi="黑体" w:eastAsia="黑体" w:cs="黑体"/>
          <w:sz w:val="52"/>
          <w:szCs w:val="52"/>
          <w:lang w:eastAsia="zh-CN"/>
        </w:rPr>
        <w:tab/>
      </w:r>
      <w:r>
        <w:rPr>
          <w:rFonts w:ascii="黑体" w:hAnsi="黑体" w:eastAsia="黑体" w:cs="黑体"/>
          <w:sz w:val="52"/>
          <w:szCs w:val="52"/>
          <w:lang w:eastAsia="zh-CN"/>
        </w:rPr>
        <w:t>西</w:t>
      </w:r>
      <w:r>
        <w:rPr>
          <w:rFonts w:ascii="黑体" w:hAnsi="黑体" w:eastAsia="黑体" w:cs="黑体"/>
          <w:sz w:val="52"/>
          <w:szCs w:val="52"/>
          <w:lang w:eastAsia="zh-CN"/>
        </w:rPr>
        <w:tab/>
      </w:r>
      <w:r>
        <w:rPr>
          <w:rFonts w:ascii="黑体" w:hAnsi="黑体" w:eastAsia="黑体" w:cs="黑体"/>
          <w:sz w:val="52"/>
          <w:szCs w:val="52"/>
          <w:lang w:eastAsia="zh-CN"/>
        </w:rPr>
        <w:t>省</w:t>
      </w:r>
      <w:r>
        <w:rPr>
          <w:rFonts w:ascii="黑体" w:hAnsi="黑体" w:eastAsia="黑体" w:cs="黑体"/>
          <w:sz w:val="52"/>
          <w:szCs w:val="52"/>
          <w:lang w:eastAsia="zh-CN"/>
        </w:rPr>
        <w:tab/>
      </w:r>
      <w:r>
        <w:rPr>
          <w:rFonts w:ascii="黑体" w:hAnsi="黑体" w:eastAsia="黑体" w:cs="黑体"/>
          <w:sz w:val="52"/>
          <w:szCs w:val="52"/>
          <w:lang w:eastAsia="zh-CN"/>
        </w:rPr>
        <w:t>地</w:t>
      </w:r>
      <w:r>
        <w:rPr>
          <w:rFonts w:ascii="黑体" w:hAnsi="黑体" w:eastAsia="黑体" w:cs="黑体"/>
          <w:sz w:val="52"/>
          <w:szCs w:val="52"/>
          <w:lang w:eastAsia="zh-CN"/>
        </w:rPr>
        <w:tab/>
      </w:r>
      <w:r>
        <w:rPr>
          <w:rFonts w:ascii="黑体" w:hAnsi="黑体" w:eastAsia="黑体" w:cs="黑体"/>
          <w:sz w:val="52"/>
          <w:szCs w:val="52"/>
          <w:lang w:eastAsia="zh-CN"/>
        </w:rPr>
        <w:t>方</w:t>
      </w:r>
      <w:r>
        <w:rPr>
          <w:rFonts w:ascii="黑体" w:hAnsi="黑体" w:eastAsia="黑体" w:cs="黑体"/>
          <w:sz w:val="52"/>
          <w:szCs w:val="52"/>
          <w:lang w:eastAsia="zh-CN"/>
        </w:rPr>
        <w:tab/>
      </w:r>
      <w:r>
        <w:rPr>
          <w:rFonts w:ascii="黑体" w:hAnsi="黑体" w:eastAsia="黑体" w:cs="黑体"/>
          <w:sz w:val="52"/>
          <w:szCs w:val="52"/>
          <w:lang w:eastAsia="zh-CN"/>
        </w:rPr>
        <w:t>标</w:t>
      </w:r>
      <w:r>
        <w:rPr>
          <w:rFonts w:ascii="黑体" w:hAnsi="黑体" w:eastAsia="黑体" w:cs="黑体"/>
          <w:sz w:val="52"/>
          <w:szCs w:val="52"/>
          <w:lang w:eastAsia="zh-CN"/>
        </w:rPr>
        <w:tab/>
      </w:r>
      <w:r>
        <w:rPr>
          <w:rFonts w:ascii="黑体" w:hAnsi="黑体" w:eastAsia="黑体" w:cs="黑体"/>
          <w:sz w:val="52"/>
          <w:szCs w:val="52"/>
          <w:lang w:eastAsia="zh-CN"/>
        </w:rPr>
        <w:t>准</w:t>
      </w:r>
    </w:p>
    <w:p>
      <w:pPr>
        <w:pStyle w:val="6"/>
        <w:spacing w:before="9"/>
        <w:jc w:val="both"/>
        <w:rPr>
          <w:rFonts w:ascii="黑体"/>
          <w:sz w:val="24"/>
          <w:lang w:eastAsia="zh-CN"/>
        </w:rPr>
      </w:pPr>
    </w:p>
    <w:p>
      <w:pPr>
        <w:keepNext w:val="0"/>
        <w:keepLines w:val="0"/>
        <w:pageBreakBefore w:val="0"/>
        <w:widowControl w:val="0"/>
        <w:kinsoku/>
        <w:wordWrap/>
        <w:overflowPunct/>
        <w:topLinePunct w:val="0"/>
        <w:autoSpaceDE w:val="0"/>
        <w:autoSpaceDN w:val="0"/>
        <w:bidi w:val="0"/>
        <w:adjustRightInd/>
        <w:snapToGrid/>
        <w:spacing w:before="89"/>
        <w:ind w:right="607"/>
        <w:jc w:val="right"/>
        <w:textAlignment w:val="auto"/>
        <w:outlineLvl w:val="9"/>
        <w:rPr>
          <w:rFonts w:ascii="Times New Roman" w:hAnsi="Times New Roman"/>
          <w:lang w:eastAsia="zh-CN"/>
        </w:rPr>
      </w:pPr>
      <w:r>
        <w:rPr>
          <w:rFonts w:ascii="Times New Roman" w:hAnsi="Times New Roman"/>
          <w:sz w:val="28"/>
          <w:szCs w:val="28"/>
          <w:lang w:eastAsia="zh-CN"/>
        </w:rPr>
        <w:t>DB61/xxxx—xxx</w:t>
      </w: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30"/>
          <w:lang w:eastAsia="zh-CN"/>
        </w:rPr>
      </w:pPr>
    </w:p>
    <w:p>
      <w:pPr>
        <w:pStyle w:val="6"/>
        <w:jc w:val="both"/>
        <w:rPr>
          <w:rFonts w:ascii="Times New Roman"/>
          <w:sz w:val="43"/>
          <w:lang w:eastAsia="zh-CN"/>
        </w:rPr>
      </w:pPr>
    </w:p>
    <w:p>
      <w:pPr>
        <w:spacing w:before="1"/>
        <w:ind w:right="105"/>
        <w:jc w:val="center"/>
        <w:rPr>
          <w:rFonts w:ascii="黑体" w:eastAsia="黑体"/>
          <w:sz w:val="52"/>
          <w:lang w:eastAsia="zh-CN"/>
        </w:rPr>
      </w:pPr>
      <w:r>
        <w:rPr>
          <w:rFonts w:hint="eastAsia" w:ascii="黑体" w:eastAsia="黑体"/>
          <w:sz w:val="52"/>
          <w:lang w:eastAsia="zh-CN"/>
        </w:rPr>
        <w:t>土壤污染防治成效综合评估指南</w:t>
      </w:r>
    </w:p>
    <w:p>
      <w:pPr>
        <w:pStyle w:val="6"/>
        <w:spacing w:before="10"/>
        <w:jc w:val="center"/>
        <w:rPr>
          <w:rFonts w:hint="eastAsia" w:ascii="Times New Roman"/>
          <w:sz w:val="24"/>
          <w:lang w:eastAsia="zh-CN"/>
        </w:rPr>
      </w:pPr>
    </w:p>
    <w:p>
      <w:pPr>
        <w:pStyle w:val="6"/>
        <w:spacing w:before="10"/>
        <w:jc w:val="center"/>
        <w:rPr>
          <w:rFonts w:ascii="Times New Roman"/>
          <w:sz w:val="37"/>
        </w:rPr>
      </w:pPr>
      <w:r>
        <w:rPr>
          <w:rFonts w:hint="eastAsia" w:ascii="Times New Roman"/>
          <w:sz w:val="24"/>
          <w:lang w:eastAsia="zh-CN"/>
        </w:rPr>
        <w:t>Guide for comprehensive evaluation of soil pollution prevention</w:t>
      </w:r>
    </w:p>
    <w:p>
      <w:pPr>
        <w:keepNext w:val="0"/>
        <w:keepLines w:val="0"/>
        <w:pageBreakBefore w:val="0"/>
        <w:widowControl w:val="0"/>
        <w:kinsoku/>
        <w:wordWrap/>
        <w:overflowPunct/>
        <w:topLinePunct w:val="0"/>
        <w:autoSpaceDE w:val="0"/>
        <w:autoSpaceDN w:val="0"/>
        <w:bidi w:val="0"/>
        <w:adjustRightInd/>
        <w:snapToGrid/>
        <w:spacing w:before="1"/>
        <w:ind w:right="102"/>
        <w:jc w:val="center"/>
        <w:textAlignment w:val="auto"/>
        <w:outlineLvl w:val="9"/>
        <w:rPr>
          <w:rFonts w:hint="eastAsia" w:ascii="黑体" w:hAnsi="黑体" w:eastAsia="黑体" w:cs="黑体"/>
          <w:b/>
          <w:bCs/>
          <w:sz w:val="28"/>
          <w:szCs w:val="28"/>
        </w:rPr>
      </w:pPr>
    </w:p>
    <w:p>
      <w:pPr>
        <w:keepNext w:val="0"/>
        <w:keepLines w:val="0"/>
        <w:pageBreakBefore w:val="0"/>
        <w:widowControl w:val="0"/>
        <w:kinsoku/>
        <w:wordWrap/>
        <w:overflowPunct/>
        <w:topLinePunct w:val="0"/>
        <w:autoSpaceDE w:val="0"/>
        <w:autoSpaceDN w:val="0"/>
        <w:bidi w:val="0"/>
        <w:adjustRightInd/>
        <w:snapToGrid/>
        <w:spacing w:before="1"/>
        <w:ind w:right="102"/>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征求意见</w:t>
      </w:r>
      <w:r>
        <w:rPr>
          <w:rFonts w:hint="eastAsia" w:ascii="黑体" w:hAnsi="黑体" w:eastAsia="黑体" w:cs="黑体"/>
          <w:b w:val="0"/>
          <w:bCs w:val="0"/>
          <w:sz w:val="28"/>
          <w:szCs w:val="28"/>
          <w:lang w:eastAsia="zh-CN"/>
        </w:rPr>
        <w:t>稿</w:t>
      </w:r>
      <w:r>
        <w:rPr>
          <w:rFonts w:hint="eastAsia" w:ascii="黑体" w:hAnsi="黑体" w:eastAsia="黑体" w:cs="黑体"/>
          <w:b w:val="0"/>
          <w:bCs w:val="0"/>
          <w:sz w:val="28"/>
          <w:szCs w:val="28"/>
        </w:rPr>
        <w:t>）</w:t>
      </w:r>
    </w:p>
    <w:p>
      <w:pPr>
        <w:pStyle w:val="6"/>
        <w:jc w:val="both"/>
        <w:rPr>
          <w:sz w:val="28"/>
        </w:rPr>
      </w:pPr>
    </w:p>
    <w:p>
      <w:pPr>
        <w:pStyle w:val="6"/>
        <w:jc w:val="both"/>
        <w:rPr>
          <w:sz w:val="28"/>
        </w:rPr>
      </w:pPr>
    </w:p>
    <w:p>
      <w:pPr>
        <w:pStyle w:val="6"/>
        <w:jc w:val="both"/>
        <w:rPr>
          <w:sz w:val="28"/>
        </w:rPr>
      </w:pPr>
    </w:p>
    <w:p>
      <w:pPr>
        <w:pStyle w:val="6"/>
        <w:jc w:val="both"/>
        <w:rPr>
          <w:sz w:val="28"/>
        </w:rPr>
      </w:pPr>
    </w:p>
    <w:p>
      <w:pPr>
        <w:pStyle w:val="6"/>
        <w:jc w:val="both"/>
        <w:rPr>
          <w:sz w:val="28"/>
        </w:rPr>
      </w:pPr>
    </w:p>
    <w:p>
      <w:pPr>
        <w:pStyle w:val="6"/>
        <w:jc w:val="both"/>
        <w:rPr>
          <w:sz w:val="28"/>
        </w:rPr>
      </w:pPr>
    </w:p>
    <w:p>
      <w:pPr>
        <w:pStyle w:val="6"/>
        <w:jc w:val="both"/>
        <w:rPr>
          <w:sz w:val="28"/>
        </w:rPr>
      </w:pPr>
    </w:p>
    <w:p>
      <w:pPr>
        <w:pStyle w:val="6"/>
        <w:jc w:val="both"/>
        <w:rPr>
          <w:sz w:val="28"/>
        </w:rPr>
      </w:pPr>
    </w:p>
    <w:p>
      <w:pPr>
        <w:pStyle w:val="6"/>
        <w:spacing w:before="5"/>
        <w:jc w:val="both"/>
        <w:rPr>
          <w:sz w:val="32"/>
        </w:rPr>
      </w:pPr>
    </w:p>
    <w:p>
      <w:pPr>
        <w:tabs>
          <w:tab w:val="left" w:pos="6170"/>
        </w:tabs>
        <w:ind w:left="104"/>
        <w:jc w:val="center"/>
        <w:rPr>
          <w:rFonts w:ascii="黑体" w:hAnsi="黑体" w:eastAsia="黑体"/>
          <w:sz w:val="28"/>
          <w:lang w:eastAsia="zh-CN"/>
        </w:rPr>
      </w:pPr>
      <w:r>
        <w:rPr>
          <w:rFonts w:hint="eastAsia" w:ascii="黑体" w:hAnsi="黑体" w:eastAsia="黑体"/>
          <w:sz w:val="28"/>
          <w:lang w:eastAsia="zh-CN"/>
        </w:rPr>
        <w:t>××××</w:t>
      </w:r>
      <w:r>
        <w:rPr>
          <w:rFonts w:ascii="Times New Roman" w:hAnsi="Times New Roman" w:eastAsia="Times New Roman"/>
          <w:sz w:val="28"/>
          <w:lang w:eastAsia="zh-CN"/>
        </w:rPr>
        <w:t>-</w:t>
      </w:r>
      <w:r>
        <w:rPr>
          <w:rFonts w:hint="eastAsia" w:ascii="黑体" w:hAnsi="黑体" w:eastAsia="黑体"/>
          <w:sz w:val="28"/>
          <w:lang w:eastAsia="zh-CN"/>
        </w:rPr>
        <w:t>××</w:t>
      </w:r>
      <w:r>
        <w:rPr>
          <w:rFonts w:ascii="Times New Roman" w:hAnsi="Times New Roman" w:eastAsia="Times New Roman"/>
          <w:sz w:val="28"/>
          <w:lang w:eastAsia="zh-CN"/>
        </w:rPr>
        <w:t>-</w:t>
      </w:r>
      <w:r>
        <w:rPr>
          <w:rFonts w:hint="eastAsia" w:ascii="黑体" w:hAnsi="黑体" w:eastAsia="黑体"/>
          <w:sz w:val="28"/>
          <w:lang w:eastAsia="zh-CN"/>
        </w:rPr>
        <w:t>××发布</w:t>
      </w:r>
      <w:r>
        <w:rPr>
          <w:rFonts w:hint="eastAsia" w:ascii="黑体" w:hAnsi="黑体" w:eastAsia="黑体"/>
          <w:sz w:val="28"/>
          <w:lang w:eastAsia="zh-CN"/>
        </w:rPr>
        <w:tab/>
      </w:r>
      <w:r>
        <w:rPr>
          <w:rFonts w:hint="eastAsia" w:ascii="黑体" w:hAnsi="黑体" w:eastAsia="黑体"/>
          <w:sz w:val="28"/>
          <w:lang w:eastAsia="zh-CN"/>
        </w:rPr>
        <w:t>××××</w:t>
      </w:r>
      <w:r>
        <w:rPr>
          <w:rFonts w:ascii="Times New Roman" w:hAnsi="Times New Roman" w:eastAsia="Times New Roman"/>
          <w:sz w:val="28"/>
          <w:lang w:eastAsia="zh-CN"/>
        </w:rPr>
        <w:t>-</w:t>
      </w:r>
      <w:r>
        <w:rPr>
          <w:rFonts w:hint="eastAsia" w:ascii="黑体" w:hAnsi="黑体" w:eastAsia="黑体"/>
          <w:sz w:val="28"/>
          <w:lang w:eastAsia="zh-CN"/>
        </w:rPr>
        <w:t>××</w:t>
      </w:r>
      <w:r>
        <w:rPr>
          <w:rFonts w:ascii="Times New Roman" w:hAnsi="Times New Roman" w:eastAsia="Times New Roman"/>
          <w:sz w:val="28"/>
          <w:lang w:eastAsia="zh-CN"/>
        </w:rPr>
        <w:t>-</w:t>
      </w:r>
      <w:r>
        <w:rPr>
          <w:rFonts w:hint="eastAsia" w:ascii="黑体" w:hAnsi="黑体" w:eastAsia="黑体"/>
          <w:sz w:val="28"/>
          <w:lang w:eastAsia="zh-CN"/>
        </w:rPr>
        <w:t>××实施</w:t>
      </w:r>
    </w:p>
    <w:p>
      <w:pPr>
        <w:pStyle w:val="6"/>
        <w:spacing w:line="20" w:lineRule="exact"/>
        <w:ind w:left="140"/>
        <w:jc w:val="both"/>
        <w:rPr>
          <w:rFonts w:ascii="黑体"/>
          <w:sz w:val="2"/>
        </w:rPr>
      </w:pPr>
      <w:r>
        <w:rPr>
          <w:rFonts w:ascii="黑体"/>
          <w:sz w:val="2"/>
        </w:rPr>
        <mc:AlternateContent>
          <mc:Choice Requires="wpg">
            <w:drawing>
              <wp:inline distT="0" distB="0" distL="114300" distR="114300">
                <wp:extent cx="5802630" cy="9525"/>
                <wp:effectExtent l="0" t="0" r="0" b="0"/>
                <wp:docPr id="3" name="组合 2"/>
                <wp:cNvGraphicFramePr/>
                <a:graphic xmlns:a="http://schemas.openxmlformats.org/drawingml/2006/main">
                  <a:graphicData uri="http://schemas.microsoft.com/office/word/2010/wordprocessingGroup">
                    <wpg:wgp>
                      <wpg:cNvGrpSpPr/>
                      <wpg:grpSpPr>
                        <a:xfrm>
                          <a:off x="0" y="0"/>
                          <a:ext cx="5802630" cy="9525"/>
                          <a:chOff x="0" y="0"/>
                          <a:chExt cx="9138" cy="15203"/>
                        </a:xfrm>
                      </wpg:grpSpPr>
                      <wps:wsp>
                        <wps:cNvPr id="2" name="直线 3"/>
                        <wps:cNvCnPr/>
                        <wps:spPr>
                          <a:xfrm>
                            <a:off x="0" y="7"/>
                            <a:ext cx="9138"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56.9pt;" coordsize="9138,15203" o:gfxdata="UEsDBAoAAAAAAIdO4kAAAAAAAAAAAAAAAAAEAAAAZHJzL1BLAwQUAAAACACHTuJAK0iNl9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rSI2X0wAAAAMBAAAPAAAAAAAAAAEA&#10;IAAAACIAAABkcnMvZG93bnJldi54bWxQSwECFAAUAAAACACHTuJA104Nvk0CAAABBQAADgAAAAAA&#10;AAABACAAAAAiAQAAZHJzL2Uyb0RvYy54bWxQSwUGAAAAAAYABgBZAQAA4QUAAAAA&#10;">
                <o:lock v:ext="edit" aspectratio="f"/>
                <v:line id="直线 3" o:spid="_x0000_s1026" o:spt="20" style="position:absolute;left:0;top:7;height:0;width:9138;"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6"/>
        <w:spacing w:before="5"/>
        <w:jc w:val="both"/>
        <w:rPr>
          <w:rFonts w:ascii="黑体"/>
          <w:sz w:val="31"/>
        </w:rPr>
      </w:pPr>
    </w:p>
    <w:p>
      <w:pPr>
        <w:keepNext w:val="0"/>
        <w:keepLines w:val="0"/>
        <w:pageBreakBefore w:val="0"/>
        <w:widowControl w:val="0"/>
        <w:kinsoku/>
        <w:wordWrap/>
        <w:overflowPunct/>
        <w:topLinePunct w:val="0"/>
        <w:autoSpaceDE w:val="0"/>
        <w:autoSpaceDN w:val="0"/>
        <w:bidi w:val="0"/>
        <w:adjustRightInd/>
        <w:snapToGrid/>
        <w:spacing w:before="1"/>
        <w:ind w:left="68" w:leftChars="31"/>
        <w:jc w:val="both"/>
        <w:textAlignment w:val="auto"/>
        <w:rPr>
          <w:rFonts w:ascii="黑体" w:eastAsia="黑体"/>
          <w:sz w:val="36"/>
          <w:lang w:eastAsia="zh-CN"/>
        </w:rPr>
      </w:pPr>
      <w:r>
        <w:rPr>
          <w:rFonts w:hint="eastAsia" w:ascii="黑体" w:eastAsia="黑体"/>
          <w:w w:val="135"/>
          <w:sz w:val="36"/>
          <w:lang w:eastAsia="zh-CN"/>
        </w:rPr>
        <w:t>陕西省生态环境厅</w:t>
      </w:r>
    </w:p>
    <w:p>
      <w:pPr>
        <w:keepNext w:val="0"/>
        <w:keepLines w:val="0"/>
        <w:pageBreakBefore w:val="0"/>
        <w:widowControl w:val="0"/>
        <w:tabs>
          <w:tab w:val="left" w:pos="6501"/>
        </w:tabs>
        <w:kinsoku/>
        <w:wordWrap/>
        <w:overflowPunct/>
        <w:topLinePunct w:val="0"/>
        <w:autoSpaceDE w:val="0"/>
        <w:autoSpaceDN w:val="0"/>
        <w:bidi w:val="0"/>
        <w:adjustRightInd/>
        <w:snapToGrid/>
        <w:spacing w:before="7"/>
        <w:ind w:left="68" w:leftChars="31"/>
        <w:jc w:val="both"/>
        <w:textAlignment w:val="auto"/>
        <w:rPr>
          <w:rFonts w:ascii="黑体" w:eastAsia="黑体"/>
          <w:sz w:val="28"/>
          <w:lang w:eastAsia="zh-CN"/>
        </w:rPr>
      </w:pPr>
      <w:r>
        <w:rPr>
          <w:rFonts w:hint="eastAsia" w:ascii="黑体" w:eastAsia="黑体"/>
          <w:spacing w:val="37"/>
          <w:w w:val="130"/>
          <w:sz w:val="36"/>
          <w:lang w:eastAsia="zh-CN"/>
        </w:rPr>
        <w:t>陕西省</w:t>
      </w:r>
      <w:r>
        <w:rPr>
          <w:rFonts w:hint="eastAsia" w:ascii="黑体" w:eastAsia="黑体"/>
          <w:spacing w:val="40"/>
          <w:w w:val="130"/>
          <w:sz w:val="36"/>
          <w:lang w:eastAsia="zh-CN"/>
        </w:rPr>
        <w:t>市</w:t>
      </w:r>
      <w:r>
        <w:rPr>
          <w:rFonts w:hint="eastAsia" w:ascii="黑体" w:eastAsia="黑体"/>
          <w:spacing w:val="37"/>
          <w:w w:val="130"/>
          <w:sz w:val="36"/>
          <w:lang w:eastAsia="zh-CN"/>
        </w:rPr>
        <w:t>场监督</w:t>
      </w:r>
      <w:r>
        <w:rPr>
          <w:rFonts w:hint="eastAsia" w:ascii="黑体" w:eastAsia="黑体"/>
          <w:spacing w:val="40"/>
          <w:w w:val="130"/>
          <w:sz w:val="36"/>
          <w:lang w:eastAsia="zh-CN"/>
        </w:rPr>
        <w:t>管</w:t>
      </w:r>
      <w:r>
        <w:rPr>
          <w:rFonts w:hint="eastAsia" w:ascii="黑体" w:eastAsia="黑体"/>
          <w:spacing w:val="37"/>
          <w:w w:val="130"/>
          <w:sz w:val="36"/>
          <w:lang w:eastAsia="zh-CN"/>
        </w:rPr>
        <w:t>理</w:t>
      </w:r>
      <w:r>
        <w:rPr>
          <w:rFonts w:hint="eastAsia" w:ascii="黑体" w:eastAsia="黑体"/>
          <w:w w:val="130"/>
          <w:sz w:val="36"/>
          <w:lang w:eastAsia="zh-CN"/>
        </w:rPr>
        <w:t>局</w:t>
      </w:r>
      <w:r>
        <w:rPr>
          <w:rFonts w:hint="eastAsia" w:ascii="黑体" w:eastAsia="黑体"/>
          <w:w w:val="130"/>
          <w:sz w:val="36"/>
          <w:lang w:val="en-US" w:eastAsia="zh-CN"/>
        </w:rPr>
        <w:t xml:space="preserve">   </w:t>
      </w:r>
      <w:r>
        <w:rPr>
          <w:rFonts w:hint="eastAsia" w:ascii="黑体" w:eastAsia="黑体"/>
          <w:w w:val="120"/>
          <w:position w:val="-4"/>
          <w:sz w:val="28"/>
          <w:lang w:eastAsia="zh-CN"/>
        </w:rPr>
        <w:t>发布</w:t>
      </w:r>
    </w:p>
    <w:p>
      <w:pPr>
        <w:pStyle w:val="6"/>
        <w:jc w:val="both"/>
        <w:rPr>
          <w:rFonts w:ascii="黑体"/>
          <w:sz w:val="20"/>
          <w:lang w:eastAsia="zh-CN"/>
        </w:rPr>
        <w:sectPr>
          <w:pgSz w:w="11910" w:h="16840"/>
          <w:pgMar w:top="1580" w:right="740" w:bottom="280" w:left="1180" w:header="720" w:footer="720" w:gutter="0"/>
          <w:pgNumType w:fmt="decimal"/>
          <w:cols w:space="720" w:num="1"/>
        </w:sectPr>
      </w:pPr>
    </w:p>
    <w:p>
      <w:pPr>
        <w:jc w:val="both"/>
        <w:rPr>
          <w:rFonts w:ascii="Times New Roman"/>
          <w:sz w:val="17"/>
          <w:lang w:eastAsia="zh-CN"/>
        </w:rPr>
        <w:sectPr>
          <w:footerReference r:id="rId3" w:type="default"/>
          <w:pgSz w:w="11910" w:h="16840"/>
          <w:pgMar w:top="1580" w:right="740" w:bottom="280" w:left="1180" w:header="720" w:footer="720" w:gutter="0"/>
          <w:pgNumType w:fmt="decimal" w:start="1"/>
          <w:cols w:space="720" w:num="1"/>
        </w:sectPr>
      </w:pPr>
    </w:p>
    <w:p>
      <w:pPr>
        <w:pStyle w:val="6"/>
        <w:spacing w:before="73"/>
        <w:ind w:right="387"/>
        <w:jc w:val="both"/>
        <w:rPr>
          <w:rFonts w:ascii="Times New Roman"/>
        </w:rPr>
      </w:pPr>
      <w:r>
        <w:rPr>
          <w:rFonts w:ascii="Times New Roman"/>
        </w:rPr>
        <w:t>DB61/XXXX-XXXX</w:t>
      </w:r>
    </w:p>
    <w:p>
      <w:pPr>
        <w:pStyle w:val="6"/>
        <w:jc w:val="both"/>
        <w:rPr>
          <w:rFonts w:ascii="Times New Roman"/>
          <w:sz w:val="20"/>
        </w:rPr>
      </w:pPr>
    </w:p>
    <w:p>
      <w:pPr>
        <w:pStyle w:val="6"/>
        <w:jc w:val="both"/>
        <w:rPr>
          <w:rFonts w:ascii="Times New Roman"/>
          <w:sz w:val="20"/>
        </w:rPr>
      </w:pPr>
    </w:p>
    <w:p>
      <w:pPr>
        <w:pStyle w:val="6"/>
        <w:jc w:val="both"/>
        <w:rPr>
          <w:rFonts w:ascii="Times New Roman"/>
          <w:sz w:val="26"/>
        </w:rPr>
      </w:pPr>
    </w:p>
    <w:p>
      <w:pPr>
        <w:tabs>
          <w:tab w:val="left" w:pos="960"/>
        </w:tabs>
        <w:spacing w:before="55"/>
        <w:ind w:right="152"/>
        <w:jc w:val="center"/>
        <w:rPr>
          <w:rFonts w:hint="eastAsia" w:ascii="黑体" w:eastAsia="黑体"/>
          <w:sz w:val="32"/>
          <w:lang w:val="en-US" w:eastAsia="zh-CN"/>
        </w:rPr>
      </w:pPr>
      <w:r>
        <w:rPr>
          <w:rFonts w:hint="eastAsia" w:ascii="黑体" w:eastAsia="黑体"/>
          <w:sz w:val="32"/>
        </w:rPr>
        <w:t>目</w:t>
      </w:r>
      <w:r>
        <w:rPr>
          <w:rFonts w:hint="eastAsia" w:ascii="黑体" w:eastAsia="黑体"/>
          <w:sz w:val="32"/>
        </w:rPr>
        <w:tab/>
      </w:r>
      <w:r>
        <w:rPr>
          <w:rFonts w:hint="eastAsia" w:ascii="黑体" w:eastAsia="黑体"/>
          <w:sz w:val="32"/>
          <w:lang w:val="en-US" w:eastAsia="zh-CN"/>
        </w:rPr>
        <w:t>次</w:t>
      </w:r>
    </w:p>
    <w:sdt>
      <w:sdtPr>
        <w:rPr>
          <w:rFonts w:ascii="宋体" w:hAnsi="宋体" w:eastAsia="宋体" w:cs="宋体"/>
          <w:sz w:val="21"/>
          <w:szCs w:val="22"/>
          <w:lang w:val="en-US" w:eastAsia="en-US" w:bidi="en-US"/>
        </w:rPr>
        <w:id w:val="147452757"/>
        <w15:color w:val="DBDBDB"/>
        <w:docPartObj>
          <w:docPartGallery w:val="Table of Contents"/>
          <w:docPartUnique/>
        </w:docPartObj>
      </w:sdtPr>
      <w:sdtEndPr>
        <w:rPr>
          <w:rFonts w:ascii="Times New Roman" w:hAnsi="宋体" w:eastAsia="宋体" w:cs="宋体"/>
          <w:sz w:val="21"/>
          <w:szCs w:val="21"/>
          <w:lang w:val="en-US" w:eastAsia="zh-CN" w:bidi="en-US"/>
        </w:rPr>
      </w:sdtEndPr>
      <w:sdtContent>
        <w:p>
          <w:pPr>
            <w:spacing w:before="0" w:beforeLines="0" w:after="0" w:afterLines="0" w:line="240" w:lineRule="auto"/>
            <w:ind w:left="0" w:leftChars="0" w:right="0" w:rightChars="0" w:firstLine="0" w:firstLineChars="0"/>
            <w:jc w:val="center"/>
          </w:pPr>
          <w:r>
            <w:rPr>
              <w:rFonts w:ascii="Times New Roman"/>
              <w:sz w:val="20"/>
              <w:lang w:eastAsia="zh-CN"/>
            </w:rPr>
            <w:fldChar w:fldCharType="begin"/>
          </w:r>
          <w:r>
            <w:rPr>
              <w:rFonts w:ascii="Times New Roman"/>
              <w:sz w:val="20"/>
              <w:lang w:eastAsia="zh-CN"/>
            </w:rPr>
            <w:instrText xml:space="preserve">TOC \o "1-2" \h \u </w:instrText>
          </w:r>
          <w:r>
            <w:rPr>
              <w:rFonts w:ascii="Times New Roman"/>
              <w:sz w:val="20"/>
              <w:lang w:eastAsia="zh-CN"/>
            </w:rPr>
            <w:fldChar w:fldCharType="separate"/>
          </w:r>
        </w:p>
        <w:p>
          <w:pPr>
            <w:pStyle w:val="10"/>
            <w:tabs>
              <w:tab w:val="right" w:leader="dot" w:pos="9241"/>
              <w:tab w:val="clear" w:pos="9060"/>
            </w:tabs>
            <w:spacing w:before="78" w:after="78"/>
            <w:rPr>
              <w:rFonts w:ascii="Times New Roman"/>
              <w:b w:val="0"/>
              <w:bCs/>
              <w:szCs w:val="24"/>
            </w:rPr>
          </w:pPr>
          <w:r>
            <w:rPr>
              <w:b w:val="0"/>
              <w:bCs/>
            </w:rPr>
            <w:fldChar w:fldCharType="begin" w:fldLock="1"/>
          </w:r>
          <w:r>
            <w:rPr>
              <w:b w:val="0"/>
              <w:bCs/>
            </w:rPr>
            <w:instrText xml:space="preserve"> </w:instrText>
          </w:r>
          <w:r>
            <w:rPr>
              <w:rFonts w:hint="eastAsia"/>
              <w:b w:val="0"/>
              <w:bCs/>
            </w:rPr>
            <w:instrText xml:space="preserve">TOC \h \z \t"前言、引言标题,1,参考文献、索引标题,1,章标题,1,参考文献,1,附录标识,1" \* MERGEFORMAT</w:instrText>
          </w:r>
          <w:r>
            <w:rPr>
              <w:b w:val="0"/>
              <w:bCs/>
            </w:rPr>
            <w:instrText xml:space="preserve"> </w:instrText>
          </w:r>
          <w:r>
            <w:rPr>
              <w:b w:val="0"/>
              <w:bCs/>
            </w:rPr>
            <w:fldChar w:fldCharType="separate"/>
          </w:r>
          <w:r>
            <w:rPr>
              <w:rStyle w:val="16"/>
              <w:b w:val="0"/>
              <w:bCs/>
              <w:color w:val="auto"/>
            </w:rPr>
            <w:fldChar w:fldCharType="begin" w:fldLock="1"/>
          </w:r>
          <w:r>
            <w:rPr>
              <w:rStyle w:val="16"/>
              <w:b w:val="0"/>
              <w:bCs/>
              <w:color w:val="auto"/>
            </w:rPr>
            <w:instrText xml:space="preserve"> </w:instrText>
          </w:r>
          <w:r>
            <w:rPr>
              <w:b w:val="0"/>
              <w:bCs/>
            </w:rPr>
            <w:instrText xml:space="preserve">HYPERLINK \l "_Toc77257087"</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rPr>
            <w:t>前言</w:t>
          </w:r>
          <w:r>
            <w:rPr>
              <w:b w:val="0"/>
              <w:bCs/>
            </w:rPr>
            <w:tab/>
          </w:r>
          <w:r>
            <w:rPr>
              <w:b w:val="0"/>
              <w:bCs/>
            </w:rPr>
            <w:fldChar w:fldCharType="begin" w:fldLock="1"/>
          </w:r>
          <w:r>
            <w:rPr>
              <w:b w:val="0"/>
              <w:bCs/>
            </w:rPr>
            <w:instrText xml:space="preserve"> PAGEREF _Toc77257087 \h </w:instrText>
          </w:r>
          <w:r>
            <w:rPr>
              <w:b w:val="0"/>
              <w:bCs/>
            </w:rPr>
            <w:fldChar w:fldCharType="separate"/>
          </w:r>
          <w:r>
            <w:rPr>
              <w:b w:val="0"/>
              <w:bCs/>
            </w:rPr>
            <w:t>II</w:t>
          </w:r>
          <w:r>
            <w:rPr>
              <w:b w:val="0"/>
              <w:bCs/>
            </w:rPr>
            <w:fldChar w:fldCharType="end"/>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"_Toc77257088"</w:instrText>
          </w:r>
          <w:r>
            <w:rPr>
              <w:rStyle w:val="16"/>
              <w:b w:val="0"/>
              <w:bCs/>
              <w:color w:val="auto"/>
            </w:rPr>
            <w:instrText xml:space="preserve"> </w:instrText>
          </w:r>
          <w:r>
            <w:rPr>
              <w:rStyle w:val="16"/>
              <w:b w:val="0"/>
              <w:bCs/>
              <w:color w:val="auto"/>
            </w:rPr>
            <w:fldChar w:fldCharType="separate"/>
          </w:r>
          <w:r>
            <w:rPr>
              <w:rStyle w:val="16"/>
              <w:b w:val="0"/>
              <w:bCs/>
              <w:color w:val="auto"/>
            </w:rPr>
            <w:t>1</w:t>
          </w:r>
          <w:r>
            <w:rPr>
              <w:rStyle w:val="16"/>
              <w:rFonts w:hint="eastAsia"/>
              <w:b w:val="0"/>
              <w:bCs/>
              <w:color w:val="auto"/>
            </w:rPr>
            <w:t>　范围</w:t>
          </w:r>
          <w:r>
            <w:rPr>
              <w:b w:val="0"/>
              <w:bCs/>
            </w:rPr>
            <w:tab/>
          </w:r>
          <w:r>
            <w:rPr>
              <w:b w:val="0"/>
              <w:bCs/>
            </w:rPr>
            <w:fldChar w:fldCharType="begin" w:fldLock="1"/>
          </w:r>
          <w:r>
            <w:rPr>
              <w:b w:val="0"/>
              <w:bCs/>
            </w:rPr>
            <w:instrText xml:space="preserve"> PAGEREF _Toc77257088 \h </w:instrText>
          </w:r>
          <w:r>
            <w:rPr>
              <w:b w:val="0"/>
              <w:bCs/>
            </w:rPr>
            <w:fldChar w:fldCharType="separate"/>
          </w:r>
          <w:r>
            <w:rPr>
              <w:b w:val="0"/>
              <w:bCs/>
            </w:rPr>
            <w:t>1</w:t>
          </w:r>
          <w:r>
            <w:rPr>
              <w:b w:val="0"/>
              <w:bCs/>
            </w:rPr>
            <w:fldChar w:fldCharType="end"/>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"_Toc77257089"</w:instrText>
          </w:r>
          <w:r>
            <w:rPr>
              <w:rStyle w:val="16"/>
              <w:b w:val="0"/>
              <w:bCs/>
              <w:color w:val="auto"/>
            </w:rPr>
            <w:instrText xml:space="preserve"> </w:instrText>
          </w:r>
          <w:r>
            <w:rPr>
              <w:rStyle w:val="16"/>
              <w:b w:val="0"/>
              <w:bCs/>
              <w:color w:val="auto"/>
            </w:rPr>
            <w:fldChar w:fldCharType="separate"/>
          </w:r>
          <w:r>
            <w:rPr>
              <w:rStyle w:val="16"/>
              <w:b w:val="0"/>
              <w:bCs/>
              <w:color w:val="auto"/>
            </w:rPr>
            <w:t>2</w:t>
          </w:r>
          <w:r>
            <w:rPr>
              <w:rStyle w:val="16"/>
              <w:rFonts w:hint="eastAsia"/>
              <w:b w:val="0"/>
              <w:bCs/>
              <w:color w:val="auto"/>
            </w:rPr>
            <w:t>　规范性引用文件</w:t>
          </w:r>
          <w:r>
            <w:rPr>
              <w:b w:val="0"/>
              <w:bCs/>
            </w:rPr>
            <w:tab/>
          </w:r>
          <w:r>
            <w:rPr>
              <w:b w:val="0"/>
              <w:bCs/>
            </w:rPr>
            <w:fldChar w:fldCharType="begin" w:fldLock="1"/>
          </w:r>
          <w:r>
            <w:rPr>
              <w:b w:val="0"/>
              <w:bCs/>
            </w:rPr>
            <w:instrText xml:space="preserve"> PAGEREF _Toc77257089 \h </w:instrText>
          </w:r>
          <w:r>
            <w:rPr>
              <w:b w:val="0"/>
              <w:bCs/>
            </w:rPr>
            <w:fldChar w:fldCharType="separate"/>
          </w:r>
          <w:r>
            <w:rPr>
              <w:b w:val="0"/>
              <w:bCs/>
            </w:rPr>
            <w:t>1</w:t>
          </w:r>
          <w:r>
            <w:rPr>
              <w:b w:val="0"/>
              <w:bCs/>
            </w:rPr>
            <w:fldChar w:fldCharType="end"/>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"_Toc77257090"</w:instrText>
          </w:r>
          <w:r>
            <w:rPr>
              <w:rStyle w:val="16"/>
              <w:b w:val="0"/>
              <w:bCs/>
              <w:color w:val="auto"/>
            </w:rPr>
            <w:instrText xml:space="preserve"> </w:instrText>
          </w:r>
          <w:r>
            <w:rPr>
              <w:rStyle w:val="16"/>
              <w:b w:val="0"/>
              <w:bCs/>
              <w:color w:val="auto"/>
            </w:rPr>
            <w:fldChar w:fldCharType="separate"/>
          </w:r>
          <w:r>
            <w:rPr>
              <w:rStyle w:val="16"/>
              <w:b w:val="0"/>
              <w:bCs/>
              <w:color w:val="auto"/>
            </w:rPr>
            <w:t>3</w:t>
          </w:r>
          <w:r>
            <w:rPr>
              <w:rStyle w:val="16"/>
              <w:rFonts w:hint="eastAsia"/>
              <w:b w:val="0"/>
              <w:bCs/>
              <w:color w:val="auto"/>
            </w:rPr>
            <w:t>　术语和定义</w:t>
          </w:r>
          <w:r>
            <w:rPr>
              <w:b w:val="0"/>
              <w:bCs/>
            </w:rPr>
            <w:tab/>
          </w:r>
          <w:r>
            <w:rPr>
              <w:b w:val="0"/>
              <w:bCs/>
            </w:rPr>
            <w:fldChar w:fldCharType="begin" w:fldLock="1"/>
          </w:r>
          <w:r>
            <w:rPr>
              <w:b w:val="0"/>
              <w:bCs/>
            </w:rPr>
            <w:instrText xml:space="preserve"> PAGEREF _Toc77257090 \h </w:instrText>
          </w:r>
          <w:r>
            <w:rPr>
              <w:b w:val="0"/>
              <w:bCs/>
            </w:rPr>
            <w:fldChar w:fldCharType="separate"/>
          </w:r>
          <w:r>
            <w:rPr>
              <w:b w:val="0"/>
              <w:bCs/>
            </w:rPr>
            <w:t>1</w:t>
          </w:r>
          <w:r>
            <w:rPr>
              <w:b w:val="0"/>
              <w:bCs/>
            </w:rPr>
            <w:fldChar w:fldCharType="end"/>
          </w:r>
          <w:r>
            <w:rPr>
              <w:rStyle w:val="16"/>
              <w:b w:val="0"/>
              <w:bCs/>
              <w:color w:val="auto"/>
            </w:rPr>
            <w:fldChar w:fldCharType="end"/>
          </w:r>
        </w:p>
        <w:p>
          <w:pPr>
            <w:pStyle w:val="10"/>
            <w:tabs>
              <w:tab w:val="right" w:leader="dot" w:pos="9241"/>
              <w:tab w:val="clear" w:pos="9060"/>
            </w:tabs>
            <w:spacing w:before="78" w:after="78"/>
            <w:rPr>
              <w:rStyle w:val="16"/>
              <w:b w:val="0"/>
              <w:bCs/>
              <w:color w:val="auto"/>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"_Toc77257091"</w:instrText>
          </w:r>
          <w:r>
            <w:rPr>
              <w:rStyle w:val="16"/>
              <w:b w:val="0"/>
              <w:bCs/>
              <w:color w:val="auto"/>
            </w:rPr>
            <w:instrText xml:space="preserve"> </w:instrText>
          </w:r>
          <w:r>
            <w:rPr>
              <w:rStyle w:val="16"/>
              <w:b w:val="0"/>
              <w:bCs/>
              <w:color w:val="auto"/>
            </w:rPr>
            <w:fldChar w:fldCharType="separate"/>
          </w:r>
          <w:r>
            <w:rPr>
              <w:rStyle w:val="16"/>
              <w:b w:val="0"/>
              <w:bCs/>
              <w:color w:val="auto"/>
            </w:rPr>
            <w:t>4</w:t>
          </w:r>
          <w:r>
            <w:rPr>
              <w:rStyle w:val="16"/>
              <w:rFonts w:hint="eastAsia"/>
              <w:b w:val="0"/>
              <w:bCs/>
              <w:color w:val="auto"/>
            </w:rPr>
            <w:t>　</w:t>
          </w:r>
          <w:r>
            <w:rPr>
              <w:rStyle w:val="16"/>
              <w:rFonts w:hint="eastAsia"/>
              <w:b w:val="0"/>
              <w:bCs/>
              <w:color w:val="auto"/>
              <w:lang w:val="en-US" w:eastAsia="zh-CN"/>
            </w:rPr>
            <w:t>总体原则</w:t>
          </w:r>
          <w:r>
            <w:rPr>
              <w:b w:val="0"/>
              <w:bCs/>
            </w:rPr>
            <w:tab/>
          </w:r>
          <w:r>
            <w:rPr>
              <w:rFonts w:hint="eastAsia"/>
              <w:b w:val="0"/>
              <w:bCs/>
              <w:lang w:val="en-US" w:eastAsia="zh-CN"/>
            </w:rPr>
            <w:t>1</w:t>
          </w:r>
          <w:r>
            <w:rPr>
              <w:rStyle w:val="16"/>
              <w:b w:val="0"/>
              <w:bCs/>
              <w:color w:val="auto"/>
            </w:rPr>
            <w:fldChar w:fldCharType="end"/>
          </w:r>
        </w:p>
        <w:p>
          <w:pPr>
            <w:pStyle w:val="10"/>
            <w:tabs>
              <w:tab w:val="right" w:leader="dot" w:pos="9241"/>
              <w:tab w:val="clear" w:pos="9060"/>
            </w:tabs>
            <w:spacing w:before="78" w:after="78"/>
            <w:rPr>
              <w:rStyle w:val="16"/>
              <w:b w:val="0"/>
              <w:bCs/>
              <w:color w:val="auto"/>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"_Toc77257091"</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5</w:t>
          </w:r>
          <w:r>
            <w:rPr>
              <w:rStyle w:val="16"/>
              <w:rFonts w:hint="eastAsia"/>
              <w:b w:val="0"/>
              <w:bCs/>
              <w:color w:val="auto"/>
            </w:rPr>
            <w:t>　</w:t>
          </w:r>
          <w:r>
            <w:rPr>
              <w:rStyle w:val="16"/>
              <w:rFonts w:hint="eastAsia"/>
              <w:b w:val="0"/>
              <w:bCs/>
              <w:color w:val="auto"/>
              <w:lang w:eastAsia="zh-CN"/>
            </w:rPr>
            <w:t>工作程序</w:t>
          </w:r>
          <w:r>
            <w:rPr>
              <w:b w:val="0"/>
              <w:bCs/>
            </w:rPr>
            <w:tab/>
          </w:r>
          <w:r>
            <w:rPr>
              <w:rFonts w:hint="eastAsia"/>
              <w:b w:val="0"/>
              <w:bCs/>
              <w:lang w:val="en-US" w:eastAsia="zh-CN"/>
            </w:rPr>
            <w:t>2</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"_Toc77257092"</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6</w:t>
          </w:r>
          <w:r>
            <w:rPr>
              <w:rStyle w:val="16"/>
              <w:rFonts w:hint="eastAsia"/>
              <w:b w:val="0"/>
              <w:bCs/>
              <w:color w:val="auto"/>
            </w:rPr>
            <w:t>　</w:t>
          </w:r>
          <w:r>
            <w:rPr>
              <w:rStyle w:val="16"/>
              <w:rFonts w:hint="eastAsia"/>
              <w:b w:val="0"/>
              <w:bCs/>
              <w:color w:val="auto"/>
              <w:lang w:val="en-US" w:eastAsia="zh-CN"/>
            </w:rPr>
            <w:t>工作准备</w:t>
          </w:r>
          <w:r>
            <w:rPr>
              <w:b w:val="0"/>
              <w:bCs/>
            </w:rPr>
            <w:tab/>
          </w:r>
          <w:r>
            <w:rPr>
              <w:rFonts w:hint="eastAsia"/>
              <w:b w:val="0"/>
              <w:bCs/>
              <w:lang w:val="en-US" w:eastAsia="zh-CN"/>
            </w:rPr>
            <w:t>3</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"_Toc77257093"</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7</w:t>
          </w:r>
          <w:r>
            <w:rPr>
              <w:rStyle w:val="16"/>
              <w:rFonts w:hint="eastAsia"/>
              <w:b w:val="0"/>
              <w:bCs/>
              <w:color w:val="auto"/>
            </w:rPr>
            <w:t>　</w:t>
          </w:r>
          <w:r>
            <w:rPr>
              <w:rStyle w:val="16"/>
              <w:rFonts w:hint="eastAsia"/>
              <w:b w:val="0"/>
              <w:bCs/>
              <w:color w:val="auto"/>
              <w:lang w:val="en-US" w:eastAsia="zh-CN"/>
            </w:rPr>
            <w:t>制定工作方案</w:t>
          </w:r>
          <w:r>
            <w:rPr>
              <w:b w:val="0"/>
              <w:bCs/>
            </w:rPr>
            <w:tab/>
          </w:r>
          <w:r>
            <w:rPr>
              <w:rFonts w:hint="eastAsia"/>
              <w:b w:val="0"/>
              <w:bCs/>
              <w:lang w:val="en-US" w:eastAsia="zh-CN"/>
            </w:rPr>
            <w:t>3</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b w:val="0"/>
              <w:bCs/>
            </w:rPr>
            <w:fldChar w:fldCharType="end"/>
          </w:r>
          <w:r>
            <w:rPr>
              <w:b w:val="0"/>
              <w:bCs/>
            </w:rPr>
            <w:fldChar w:fldCharType="begin" w:fldLock="1"/>
          </w:r>
          <w:r>
            <w:rPr>
              <w:b w:val="0"/>
              <w:bCs/>
            </w:rPr>
            <w:instrText xml:space="preserve"> </w:instrText>
          </w:r>
          <w:r>
            <w:rPr>
              <w:rFonts w:hint="eastAsia"/>
              <w:b w:val="0"/>
              <w:bCs/>
            </w:rPr>
            <w:instrText xml:space="preserve">TOC \h \z \t"前言、引言标题,1,参考文献、索引标题,1,章标题,1,参考文献,1,附录标识,1" \* MERGEFORMAT</w:instrText>
          </w:r>
          <w:r>
            <w:rPr>
              <w:b w:val="0"/>
              <w:bCs/>
            </w:rPr>
            <w:instrText xml:space="preserve"> </w:instrText>
          </w:r>
          <w:r>
            <w:rPr>
              <w:b w:val="0"/>
              <w:bCs/>
            </w:rPr>
            <w:fldChar w:fldCharType="separate"/>
          </w:r>
          <w:r>
            <w:rPr>
              <w:rStyle w:val="16"/>
              <w:b w:val="0"/>
              <w:bCs/>
              <w:color w:val="auto"/>
            </w:rPr>
            <w:fldChar w:fldCharType="begin" w:fldLock="1"/>
          </w:r>
          <w:r>
            <w:rPr>
              <w:rStyle w:val="16"/>
              <w:b w:val="0"/>
              <w:bCs/>
              <w:color w:val="auto"/>
            </w:rPr>
            <w:instrText xml:space="preserve"> </w:instrText>
          </w:r>
          <w:r>
            <w:rPr>
              <w:b w:val="0"/>
              <w:bCs/>
            </w:rPr>
            <w:instrText xml:space="preserve">HYPERLINK \l "_Toc77257088"</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8</w:t>
          </w:r>
          <w:r>
            <w:rPr>
              <w:rStyle w:val="16"/>
              <w:rFonts w:hint="eastAsia"/>
              <w:b w:val="0"/>
              <w:bCs/>
              <w:color w:val="auto"/>
            </w:rPr>
            <w:t>　</w:t>
          </w:r>
          <w:r>
            <w:rPr>
              <w:rStyle w:val="16"/>
              <w:rFonts w:hint="eastAsia"/>
              <w:b w:val="0"/>
              <w:bCs/>
              <w:color w:val="auto"/>
              <w:lang w:val="en-US" w:eastAsia="zh-CN"/>
            </w:rPr>
            <w:t>实施评估</w:t>
          </w:r>
          <w:r>
            <w:rPr>
              <w:b w:val="0"/>
              <w:bCs/>
            </w:rPr>
            <w:tab/>
          </w:r>
          <w:r>
            <w:rPr>
              <w:rFonts w:hint="eastAsia"/>
              <w:b w:val="0"/>
              <w:bCs/>
              <w:lang w:val="en-US" w:eastAsia="zh-CN"/>
            </w:rPr>
            <w:t>4</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"_Toc77257089"</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9</w:t>
          </w:r>
          <w:r>
            <w:rPr>
              <w:rStyle w:val="16"/>
              <w:rFonts w:hint="eastAsia"/>
              <w:b w:val="0"/>
              <w:bCs/>
              <w:color w:val="auto"/>
            </w:rPr>
            <w:t>　</w:t>
          </w:r>
          <w:r>
            <w:rPr>
              <w:rStyle w:val="16"/>
              <w:rFonts w:hint="eastAsia"/>
              <w:b w:val="0"/>
              <w:bCs/>
              <w:color w:val="auto"/>
              <w:lang w:val="en-US" w:eastAsia="zh-CN"/>
            </w:rPr>
            <w:t>编制评估报告</w:t>
          </w:r>
          <w:r>
            <w:rPr>
              <w:b w:val="0"/>
              <w:bCs/>
            </w:rPr>
            <w:tab/>
          </w:r>
          <w:r>
            <w:rPr>
              <w:rFonts w:hint="eastAsia"/>
              <w:b w:val="0"/>
              <w:bCs/>
              <w:lang w:val="en-US" w:eastAsia="zh-CN"/>
            </w:rPr>
            <w:t>5</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"_Toc77257090"</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lang w:val="en-US" w:eastAsia="zh-CN"/>
            </w:rPr>
            <w:t>10</w:t>
          </w:r>
          <w:r>
            <w:rPr>
              <w:rStyle w:val="16"/>
              <w:rFonts w:hint="eastAsia"/>
              <w:b w:val="0"/>
              <w:bCs/>
              <w:color w:val="auto"/>
            </w:rPr>
            <w:t>　</w:t>
          </w:r>
          <w:r>
            <w:rPr>
              <w:rStyle w:val="16"/>
              <w:rFonts w:hint="eastAsia"/>
              <w:b w:val="0"/>
              <w:bCs/>
              <w:color w:val="auto"/>
              <w:lang w:val="en-US" w:eastAsia="zh-CN"/>
            </w:rPr>
            <w:t>报告审核及提交</w:t>
          </w:r>
          <w:r>
            <w:rPr>
              <w:b w:val="0"/>
              <w:bCs/>
            </w:rPr>
            <w:tab/>
          </w:r>
          <w:r>
            <w:rPr>
              <w:rFonts w:hint="eastAsia"/>
              <w:b w:val="0"/>
              <w:bCs/>
              <w:lang w:val="en-US" w:eastAsia="zh-CN"/>
            </w:rPr>
            <w:t>5</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"_Toc77257091"</w:instrText>
          </w:r>
          <w:r>
            <w:rPr>
              <w:rStyle w:val="16"/>
              <w:b w:val="0"/>
              <w:bCs/>
              <w:color w:val="auto"/>
            </w:rPr>
            <w:instrText xml:space="preserve"> </w:instrText>
          </w:r>
          <w:r>
            <w:rPr>
              <w:rStyle w:val="16"/>
              <w:b w:val="0"/>
              <w:bCs/>
              <w:color w:val="auto"/>
            </w:rPr>
            <w:fldChar w:fldCharType="separate"/>
          </w:r>
          <w:r>
            <w:rPr>
              <w:rStyle w:val="16"/>
              <w:rFonts w:hint="eastAsia"/>
              <w:b w:val="0"/>
              <w:bCs/>
              <w:color w:val="auto"/>
            </w:rPr>
            <w:t>附录 A （资料性附录）土壤污染</w:t>
          </w:r>
          <w:r>
            <w:rPr>
              <w:rStyle w:val="16"/>
              <w:rFonts w:hint="eastAsia"/>
              <w:b w:val="0"/>
              <w:bCs/>
              <w:color w:val="auto"/>
              <w:lang w:val="en-US" w:eastAsia="zh-CN"/>
            </w:rPr>
            <w:t>防治</w:t>
          </w:r>
          <w:r>
            <w:rPr>
              <w:rStyle w:val="16"/>
              <w:rFonts w:hint="eastAsia"/>
              <w:b w:val="0"/>
              <w:bCs/>
              <w:color w:val="auto"/>
            </w:rPr>
            <w:t>成效综合评估</w:t>
          </w:r>
          <w:r>
            <w:rPr>
              <w:rStyle w:val="16"/>
              <w:rFonts w:hint="eastAsia"/>
              <w:b w:val="0"/>
              <w:bCs/>
              <w:color w:val="auto"/>
              <w:lang w:val="en-US" w:eastAsia="zh-CN"/>
            </w:rPr>
            <w:t>工作</w:t>
          </w:r>
          <w:r>
            <w:rPr>
              <w:rStyle w:val="16"/>
              <w:rFonts w:hint="eastAsia"/>
              <w:b w:val="0"/>
              <w:bCs/>
              <w:color w:val="auto"/>
            </w:rPr>
            <w:t>方案编写提纲</w:t>
          </w:r>
          <w:r>
            <w:rPr>
              <w:b w:val="0"/>
              <w:bCs/>
            </w:rPr>
            <w:tab/>
          </w:r>
          <w:r>
            <w:rPr>
              <w:rFonts w:hint="eastAsia"/>
              <w:b w:val="0"/>
              <w:bCs/>
              <w:lang w:val="en-US" w:eastAsia="zh-CN"/>
            </w:rPr>
            <w:t>6</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rStyle w:val="16"/>
              <w:b w:val="0"/>
              <w:bCs/>
              <w:color w:val="auto"/>
            </w:rPr>
            <w:fldChar w:fldCharType="begin" w:fldLock="1"/>
          </w:r>
          <w:r>
            <w:rPr>
              <w:rStyle w:val="16"/>
              <w:b w:val="0"/>
              <w:bCs/>
              <w:color w:val="auto"/>
            </w:rPr>
            <w:instrText xml:space="preserve"> </w:instrText>
          </w:r>
          <w:r>
            <w:rPr>
              <w:b w:val="0"/>
              <w:bCs/>
            </w:rPr>
            <w:instrText xml:space="preserve">HYPERLINK \l "_Toc77257092"</w:instrText>
          </w:r>
          <w:r>
            <w:rPr>
              <w:rStyle w:val="16"/>
              <w:b w:val="0"/>
              <w:bCs/>
              <w:color w:val="auto"/>
            </w:rPr>
            <w:instrText xml:space="preserve"> </w:instrText>
          </w:r>
          <w:r>
            <w:rPr>
              <w:rStyle w:val="16"/>
              <w:b w:val="0"/>
              <w:bCs/>
              <w:color w:val="auto"/>
            </w:rPr>
            <w:fldChar w:fldCharType="separate"/>
          </w:r>
          <w:r>
            <w:rPr>
              <w:rFonts w:hint="eastAsia"/>
              <w:b w:val="0"/>
              <w:bCs/>
            </w:rPr>
            <w:t>附录 B （资料性附录）</w:t>
          </w:r>
          <w:r>
            <w:rPr>
              <w:rStyle w:val="16"/>
              <w:rFonts w:hint="eastAsia"/>
              <w:b w:val="0"/>
              <w:bCs/>
              <w:color w:val="auto"/>
            </w:rPr>
            <w:t>土壤污染</w:t>
          </w:r>
          <w:r>
            <w:rPr>
              <w:rStyle w:val="16"/>
              <w:rFonts w:hint="eastAsia"/>
              <w:b w:val="0"/>
              <w:bCs/>
              <w:color w:val="auto"/>
              <w:lang w:val="en-US" w:eastAsia="zh-CN"/>
            </w:rPr>
            <w:t>防治</w:t>
          </w:r>
          <w:r>
            <w:rPr>
              <w:rStyle w:val="16"/>
              <w:rFonts w:hint="eastAsia"/>
              <w:b w:val="0"/>
              <w:bCs/>
              <w:color w:val="auto"/>
            </w:rPr>
            <w:t>成效</w:t>
          </w:r>
          <w:r>
            <w:rPr>
              <w:rFonts w:hint="eastAsia"/>
              <w:b w:val="0"/>
              <w:bCs/>
            </w:rPr>
            <w:t>综合评估报告编写提纲</w:t>
          </w:r>
          <w:r>
            <w:rPr>
              <w:b w:val="0"/>
              <w:bCs/>
            </w:rPr>
            <w:tab/>
          </w:r>
          <w:r>
            <w:rPr>
              <w:rFonts w:hint="eastAsia"/>
              <w:b w:val="0"/>
              <w:bCs/>
              <w:lang w:val="en-US" w:eastAsia="zh-CN"/>
            </w:rPr>
            <w:t>7</w:t>
          </w:r>
          <w:r>
            <w:rPr>
              <w:rStyle w:val="16"/>
              <w:b w:val="0"/>
              <w:bCs/>
              <w:color w:val="auto"/>
            </w:rPr>
            <w:fldChar w:fldCharType="end"/>
          </w:r>
        </w:p>
        <w:p>
          <w:pPr>
            <w:pStyle w:val="10"/>
            <w:tabs>
              <w:tab w:val="right" w:leader="dot" w:pos="9241"/>
              <w:tab w:val="clear" w:pos="9060"/>
            </w:tabs>
            <w:spacing w:before="78" w:after="78"/>
            <w:rPr>
              <w:rFonts w:ascii="Times New Roman"/>
              <w:b w:val="0"/>
              <w:bCs/>
              <w:szCs w:val="24"/>
            </w:rPr>
          </w:pPr>
          <w:r>
            <w:rPr>
              <w:b w:val="0"/>
              <w:bCs/>
            </w:rPr>
            <w:fldChar w:fldCharType="end"/>
          </w:r>
          <w:r>
            <w:rPr>
              <w:rStyle w:val="16"/>
              <w:b w:val="0"/>
              <w:bCs/>
              <w:color w:val="auto"/>
            </w:rPr>
            <w:fldChar w:fldCharType="begin" w:fldLock="1"/>
          </w:r>
          <w:r>
            <w:rPr>
              <w:rStyle w:val="16"/>
              <w:b w:val="0"/>
              <w:bCs/>
              <w:color w:val="auto"/>
            </w:rPr>
            <w:instrText xml:space="preserve"> </w:instrText>
          </w:r>
          <w:r>
            <w:rPr>
              <w:b w:val="0"/>
              <w:bCs/>
            </w:rPr>
            <w:instrText xml:space="preserve">HYPERLINK \l "_Toc77257092"</w:instrText>
          </w:r>
          <w:r>
            <w:rPr>
              <w:rStyle w:val="16"/>
              <w:b w:val="0"/>
              <w:bCs/>
              <w:color w:val="auto"/>
            </w:rPr>
            <w:instrText xml:space="preserve"> </w:instrText>
          </w:r>
          <w:r>
            <w:rPr>
              <w:rStyle w:val="16"/>
              <w:b w:val="0"/>
              <w:bCs/>
              <w:color w:val="auto"/>
            </w:rPr>
            <w:fldChar w:fldCharType="separate"/>
          </w:r>
          <w:r>
            <w:rPr>
              <w:rFonts w:hint="eastAsia"/>
              <w:b w:val="0"/>
              <w:bCs/>
            </w:rPr>
            <w:t>附录 C （规范性附录）土壤污染防治成效综合评估指标与评分方法</w:t>
          </w:r>
          <w:r>
            <w:rPr>
              <w:b w:val="0"/>
              <w:bCs/>
            </w:rPr>
            <w:tab/>
          </w:r>
          <w:r>
            <w:rPr>
              <w:rFonts w:hint="eastAsia"/>
              <w:b w:val="0"/>
              <w:bCs/>
              <w:lang w:val="en-US" w:eastAsia="zh-CN"/>
            </w:rPr>
            <w:t>8</w:t>
          </w:r>
          <w:r>
            <w:rPr>
              <w:rStyle w:val="16"/>
              <w:b w:val="0"/>
              <w:bCs/>
              <w:color w:val="auto"/>
            </w:rPr>
            <w:fldChar w:fldCharType="end"/>
          </w:r>
          <w:bookmarkStart w:id="76" w:name="_GoBack"/>
          <w:bookmarkEnd w:id="76"/>
        </w:p>
        <w:p>
          <w:pPr>
            <w:pStyle w:val="31"/>
            <w:ind w:firstLine="0" w:firstLineChars="0"/>
            <w:rPr>
              <w:rFonts w:hint="eastAsia"/>
            </w:rPr>
          </w:pPr>
        </w:p>
        <w:p>
          <w:pPr>
            <w:pStyle w:val="10"/>
            <w:tabs>
              <w:tab w:val="right" w:leader="dot" w:pos="9241"/>
              <w:tab w:val="clear" w:pos="9060"/>
            </w:tabs>
            <w:spacing w:before="78" w:after="78"/>
            <w:rPr>
              <w:rFonts w:ascii="Times New Roman"/>
              <w:szCs w:val="24"/>
            </w:rPr>
          </w:pPr>
        </w:p>
        <w:p>
          <w:pPr>
            <w:pStyle w:val="36"/>
            <w:tabs>
              <w:tab w:val="right" w:pos="2000"/>
              <w:tab w:val="right" w:leader="dot" w:pos="9990"/>
            </w:tabs>
            <w:rPr>
              <w:b/>
              <w:bCs/>
            </w:rPr>
          </w:pPr>
        </w:p>
        <w:p>
          <w:pPr>
            <w:pStyle w:val="6"/>
            <w:jc w:val="both"/>
            <w:rPr>
              <w:rFonts w:ascii="Times New Roman"/>
              <w:sz w:val="20"/>
              <w:lang w:eastAsia="zh-CN"/>
            </w:rPr>
          </w:pPr>
          <w:r>
            <w:rPr>
              <w:rFonts w:ascii="Times New Roman"/>
              <w:lang w:eastAsia="zh-CN"/>
            </w:rPr>
            <w:fldChar w:fldCharType="end"/>
          </w:r>
        </w:p>
      </w:sdtContent>
    </w:sdt>
    <w:p>
      <w:pPr>
        <w:pStyle w:val="6"/>
        <w:spacing w:before="4"/>
        <w:jc w:val="both"/>
        <w:rPr>
          <w:rFonts w:ascii="Times New Roman"/>
          <w:sz w:val="17"/>
          <w:lang w:eastAsia="zh-CN"/>
        </w:rPr>
        <w:sectPr>
          <w:headerReference r:id="rId4" w:type="default"/>
          <w:footerReference r:id="rId6" w:type="default"/>
          <w:headerReference r:id="rId5" w:type="even"/>
          <w:footerReference r:id="rId7" w:type="even"/>
          <w:type w:val="continuous"/>
          <w:pgSz w:w="11910" w:h="16840"/>
          <w:pgMar w:top="1640" w:right="920" w:bottom="1040" w:left="1300" w:header="1420" w:footer="853" w:gutter="0"/>
          <w:pgNumType w:fmt="decimal"/>
          <w:cols w:space="720" w:num="1"/>
        </w:sectPr>
      </w:pPr>
    </w:p>
    <w:p>
      <w:pPr>
        <w:pStyle w:val="2"/>
        <w:tabs>
          <w:tab w:val="left" w:pos="640"/>
        </w:tabs>
        <w:jc w:val="center"/>
        <w:rPr>
          <w:b w:val="0"/>
          <w:bCs w:val="0"/>
          <w:lang w:eastAsia="zh-CN"/>
        </w:rPr>
      </w:pPr>
      <w:bookmarkStart w:id="0" w:name="_Toc6088"/>
      <w:bookmarkStart w:id="1" w:name="_Toc14782_WPSOffice_Level1"/>
      <w:r>
        <w:rPr>
          <w:b w:val="0"/>
          <w:bCs w:val="0"/>
          <w:lang w:eastAsia="zh-CN"/>
        </w:rPr>
        <w:t>前</w:t>
      </w:r>
      <w:r>
        <w:rPr>
          <w:b w:val="0"/>
          <w:bCs w:val="0"/>
          <w:lang w:eastAsia="zh-CN"/>
        </w:rPr>
        <w:tab/>
      </w:r>
      <w:r>
        <w:rPr>
          <w:b w:val="0"/>
          <w:bCs w:val="0"/>
          <w:lang w:eastAsia="zh-CN"/>
        </w:rPr>
        <w:t>言</w:t>
      </w:r>
      <w:bookmarkEnd w:id="0"/>
      <w:bookmarkEnd w:id="1"/>
    </w:p>
    <w:p>
      <w:pPr>
        <w:pStyle w:val="6"/>
        <w:jc w:val="both"/>
        <w:rPr>
          <w:rFonts w:ascii="黑体"/>
          <w:sz w:val="32"/>
          <w:lang w:eastAsia="zh-CN"/>
        </w:rPr>
      </w:pPr>
    </w:p>
    <w:p>
      <w:pPr>
        <w:pStyle w:val="31"/>
        <w:rPr>
          <w:rFonts w:hint="eastAsia"/>
        </w:rPr>
      </w:pPr>
      <w:r>
        <w:rPr>
          <w:rFonts w:hint="eastAsia"/>
        </w:rPr>
        <w:t>本文件按照GB/T 1.1—2020《标准化工作导则  第1部分：标准化文件的结构和起草规则》的规定起草。</w:t>
      </w:r>
    </w:p>
    <w:p>
      <w:pPr>
        <w:pStyle w:val="31"/>
        <w:rPr>
          <w:rFonts w:hint="eastAsia"/>
        </w:rPr>
      </w:pPr>
      <w:r>
        <w:rPr>
          <w:rFonts w:hint="eastAsia"/>
        </w:rPr>
        <w:t>本文件由陕西省生态环境厅提出。</w:t>
      </w:r>
    </w:p>
    <w:p>
      <w:pPr>
        <w:pStyle w:val="31"/>
        <w:rPr>
          <w:rFonts w:hint="eastAsia"/>
        </w:rPr>
      </w:pPr>
      <w:r>
        <w:rPr>
          <w:rFonts w:hint="eastAsia"/>
        </w:rPr>
        <w:t>本文件由陕西省生态环境保护标准化技术委员会归口。</w:t>
      </w:r>
    </w:p>
    <w:p>
      <w:pPr>
        <w:pStyle w:val="31"/>
        <w:rPr>
          <w:rFonts w:hint="eastAsia"/>
        </w:rPr>
      </w:pPr>
      <w:r>
        <w:rPr>
          <w:rFonts w:hint="eastAsia"/>
        </w:rPr>
        <w:t>本文件起草单位：陕西省环境调查评估中心、陕西省水工环地质调查中心。</w:t>
      </w:r>
    </w:p>
    <w:p>
      <w:pPr>
        <w:pStyle w:val="31"/>
        <w:rPr>
          <w:rFonts w:hint="eastAsia"/>
          <w:highlight w:val="none"/>
        </w:rPr>
      </w:pPr>
      <w:r>
        <w:rPr>
          <w:rFonts w:hint="eastAsia"/>
          <w:highlight w:val="none"/>
        </w:rPr>
        <w:t xml:space="preserve">本文件主要起草人： </w:t>
      </w:r>
    </w:p>
    <w:p>
      <w:pPr>
        <w:pStyle w:val="31"/>
        <w:rPr>
          <w:rFonts w:hint="eastAsia"/>
        </w:rPr>
      </w:pPr>
      <w:r>
        <w:rPr>
          <w:rFonts w:hint="eastAsia"/>
        </w:rPr>
        <w:t>本文件由陕西省生态环境厅负责解释。</w:t>
      </w:r>
    </w:p>
    <w:p>
      <w:pPr>
        <w:pStyle w:val="31"/>
        <w:rPr>
          <w:rFonts w:hint="eastAsia"/>
        </w:rPr>
      </w:pPr>
      <w:r>
        <w:rPr>
          <w:rFonts w:hint="eastAsia"/>
        </w:rPr>
        <w:t>本文件首次发布。</w:t>
      </w:r>
    </w:p>
    <w:p>
      <w:pPr>
        <w:pStyle w:val="31"/>
        <w:rPr>
          <w:rFonts w:hint="eastAsia"/>
        </w:rPr>
      </w:pPr>
      <w:r>
        <w:rPr>
          <w:rFonts w:hint="eastAsia"/>
        </w:rPr>
        <w:t>联系信息如下：</w:t>
      </w:r>
    </w:p>
    <w:p>
      <w:pPr>
        <w:pStyle w:val="31"/>
        <w:rPr>
          <w:rFonts w:hint="eastAsia"/>
        </w:rPr>
      </w:pPr>
      <w:r>
        <w:rPr>
          <w:rFonts w:hint="eastAsia"/>
        </w:rPr>
        <w:t>单位：陕西省环境调查评估中心</w:t>
      </w:r>
    </w:p>
    <w:p>
      <w:pPr>
        <w:pStyle w:val="31"/>
      </w:pPr>
      <w:r>
        <w:rPr>
          <w:rFonts w:hint="eastAsia"/>
        </w:rPr>
        <w:t>电话：029-85429526</w:t>
      </w:r>
    </w:p>
    <w:p>
      <w:pPr>
        <w:pStyle w:val="31"/>
        <w:rPr>
          <w:rFonts w:hint="eastAsia"/>
        </w:rPr>
      </w:pPr>
      <w:r>
        <w:rPr>
          <w:rFonts w:hint="eastAsia"/>
        </w:rPr>
        <w:t>地址：陕西省西安市雁塔区西影路 106 号</w:t>
      </w:r>
    </w:p>
    <w:p>
      <w:pPr>
        <w:pStyle w:val="31"/>
      </w:pPr>
      <w:r>
        <w:rPr>
          <w:rFonts w:hint="eastAsia"/>
        </w:rPr>
        <w:t>邮编：7100</w:t>
      </w:r>
      <w:bookmarkStart w:id="2" w:name="_Toc25853766"/>
      <w:r>
        <w:rPr>
          <w:rFonts w:hint="eastAsia"/>
        </w:rPr>
        <w:t>54</w:t>
      </w:r>
    </w:p>
    <w:bookmarkEnd w:id="2"/>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jc w:val="both"/>
        <w:rPr>
          <w:sz w:val="20"/>
          <w:lang w:eastAsia="zh-CN"/>
        </w:rPr>
      </w:pPr>
    </w:p>
    <w:p>
      <w:pPr>
        <w:pStyle w:val="6"/>
        <w:spacing w:before="12"/>
        <w:jc w:val="both"/>
        <w:rPr>
          <w:sz w:val="22"/>
          <w:lang w:eastAsia="zh-CN"/>
        </w:rPr>
      </w:pPr>
    </w:p>
    <w:p>
      <w:pPr>
        <w:spacing w:before="55"/>
        <w:ind w:right="90"/>
        <w:jc w:val="both"/>
        <w:rPr>
          <w:rFonts w:hint="eastAsia" w:ascii="黑体" w:eastAsia="黑体"/>
          <w:sz w:val="32"/>
          <w:lang w:eastAsia="zh-CN"/>
        </w:rPr>
      </w:pPr>
    </w:p>
    <w:p>
      <w:pPr>
        <w:spacing w:before="55"/>
        <w:ind w:right="90"/>
        <w:jc w:val="center"/>
        <w:outlineLvl w:val="0"/>
        <w:rPr>
          <w:rFonts w:hint="eastAsia" w:ascii="黑体" w:eastAsia="黑体"/>
          <w:sz w:val="32"/>
          <w:lang w:eastAsia="zh-CN"/>
        </w:rPr>
        <w:sectPr>
          <w:headerReference r:id="rId8" w:type="default"/>
          <w:footerReference r:id="rId9" w:type="default"/>
          <w:pgSz w:w="11910" w:h="16840"/>
          <w:pgMar w:top="1640" w:right="920" w:bottom="1040" w:left="1300" w:header="1420" w:footer="853" w:gutter="0"/>
          <w:pgNumType w:fmt="decimal"/>
          <w:cols w:space="720" w:num="1"/>
        </w:sectPr>
      </w:pPr>
      <w:bookmarkStart w:id="3" w:name="_Toc31302"/>
      <w:bookmarkStart w:id="4" w:name="_Toc8135_WPSOffice_Level1"/>
    </w:p>
    <w:bookmarkEnd w:id="3"/>
    <w:bookmarkEnd w:id="4"/>
    <w:p>
      <w:pPr>
        <w:spacing w:before="55"/>
        <w:ind w:right="90"/>
        <w:jc w:val="center"/>
        <w:outlineLvl w:val="0"/>
        <w:rPr>
          <w:rFonts w:ascii="黑体" w:eastAsia="黑体"/>
          <w:sz w:val="32"/>
          <w:lang w:eastAsia="zh-CN"/>
        </w:rPr>
      </w:pPr>
      <w:r>
        <w:rPr>
          <w:rFonts w:hint="eastAsia" w:ascii="黑体" w:eastAsia="黑体"/>
          <w:sz w:val="32"/>
          <w:lang w:eastAsia="zh-CN"/>
        </w:rPr>
        <w:t>土壤污染防治成效综合评估指南</w:t>
      </w:r>
    </w:p>
    <w:p>
      <w:pPr>
        <w:pStyle w:val="6"/>
        <w:jc w:val="both"/>
        <w:rPr>
          <w:rFonts w:ascii="黑体"/>
          <w:sz w:val="20"/>
          <w:lang w:eastAsia="zh-CN"/>
        </w:rPr>
      </w:pPr>
    </w:p>
    <w:p>
      <w:pPr>
        <w:pStyle w:val="6"/>
        <w:spacing w:before="4"/>
        <w:jc w:val="both"/>
        <w:rPr>
          <w:rFonts w:ascii="黑体"/>
          <w:sz w:val="28"/>
          <w:lang w:eastAsia="zh-CN"/>
        </w:rPr>
      </w:pPr>
    </w:p>
    <w:p>
      <w:pPr>
        <w:pStyle w:val="18"/>
        <w:keepNext w:val="0"/>
        <w:keepLines w:val="0"/>
        <w:pageBreakBefore w:val="0"/>
        <w:widowControl w:val="0"/>
        <w:numPr>
          <w:ilvl w:val="0"/>
          <w:numId w:val="0"/>
        </w:numPr>
        <w:tabs>
          <w:tab w:val="left" w:pos="435"/>
          <w:tab w:val="left" w:pos="436"/>
        </w:tabs>
        <w:kinsoku/>
        <w:wordWrap/>
        <w:overflowPunct/>
        <w:topLinePunct w:val="0"/>
        <w:autoSpaceDE w:val="0"/>
        <w:autoSpaceDN w:val="0"/>
        <w:bidi w:val="0"/>
        <w:adjustRightInd/>
        <w:snapToGrid/>
        <w:spacing w:before="72"/>
        <w:jc w:val="both"/>
        <w:textAlignment w:val="auto"/>
        <w:outlineLvl w:val="0"/>
        <w:rPr>
          <w:rFonts w:ascii="黑体" w:eastAsia="黑体"/>
          <w:sz w:val="21"/>
        </w:rPr>
      </w:pPr>
      <w:bookmarkStart w:id="5" w:name="_Toc13951"/>
      <w:bookmarkStart w:id="6" w:name="_Toc20596_WPSOffice_Level1"/>
      <w:r>
        <w:rPr>
          <w:rFonts w:hint="eastAsia" w:ascii="黑体" w:eastAsia="黑体"/>
          <w:sz w:val="21"/>
          <w:lang w:val="en-US" w:eastAsia="zh-CN"/>
        </w:rPr>
        <w:t xml:space="preserve">1  </w:t>
      </w:r>
      <w:r>
        <w:rPr>
          <w:rFonts w:hint="eastAsia" w:ascii="黑体" w:eastAsia="黑体"/>
          <w:sz w:val="21"/>
        </w:rPr>
        <w:t>范围</w:t>
      </w:r>
      <w:bookmarkEnd w:id="5"/>
      <w:bookmarkEnd w:id="6"/>
    </w:p>
    <w:p>
      <w:pPr>
        <w:pStyle w:val="6"/>
        <w:spacing w:before="6"/>
        <w:jc w:val="both"/>
        <w:rPr>
          <w:rFonts w:ascii="黑体"/>
          <w:sz w:val="15"/>
        </w:rPr>
      </w:pPr>
    </w:p>
    <w:p>
      <w:pPr>
        <w:pStyle w:val="31"/>
        <w:rPr>
          <w:rFonts w:hint="eastAsia"/>
        </w:rPr>
      </w:pPr>
      <w:bookmarkStart w:id="7" w:name="_Toc5224"/>
      <w:bookmarkStart w:id="8" w:name="_Toc8512_WPSOffice_Level1"/>
      <w:r>
        <w:rPr>
          <w:rFonts w:hint="eastAsia"/>
        </w:rPr>
        <w:t>本文件规定了综合评估工作总体原则、工作程序、评估方法、评估内容和评估报告编制要求。</w:t>
      </w:r>
    </w:p>
    <w:p>
      <w:pPr>
        <w:pStyle w:val="31"/>
        <w:rPr>
          <w:rFonts w:hint="eastAsia" w:eastAsia="宋体"/>
          <w:highlight w:val="yellow"/>
          <w:lang w:eastAsia="zh-CN"/>
        </w:rPr>
      </w:pPr>
      <w:r>
        <w:rPr>
          <w:rFonts w:hint="eastAsia"/>
        </w:rPr>
        <w:t>本文件适用于评估机构开展对各县（市、区）</w:t>
      </w:r>
      <w:r>
        <w:rPr>
          <w:rFonts w:hint="eastAsia"/>
          <w:lang w:val="en-US" w:eastAsia="zh-CN"/>
        </w:rPr>
        <w:t>人民政府</w:t>
      </w:r>
      <w:r>
        <w:rPr>
          <w:rFonts w:hint="eastAsia"/>
        </w:rPr>
        <w:t>土壤污染防治成效综合评估工作。</w:t>
      </w:r>
    </w:p>
    <w:bookmarkEnd w:id="7"/>
    <w:bookmarkEnd w:id="8"/>
    <w:p>
      <w:pPr>
        <w:pStyle w:val="41"/>
        <w:numPr>
          <w:ilvl w:val="0"/>
          <w:numId w:val="0"/>
        </w:numPr>
        <w:ind w:leftChars="0"/>
        <w:rPr>
          <w:rFonts w:hint="eastAsia"/>
        </w:rPr>
      </w:pPr>
      <w:bookmarkStart w:id="9" w:name="_Toc77257089"/>
      <w:bookmarkStart w:id="10" w:name="_Toc77232431"/>
      <w:r>
        <w:rPr>
          <w:rFonts w:hint="eastAsia"/>
          <w:lang w:val="en-US" w:eastAsia="zh-CN"/>
        </w:rPr>
        <w:t xml:space="preserve">2  </w:t>
      </w:r>
      <w:r>
        <w:rPr>
          <w:rFonts w:hint="eastAsia"/>
        </w:rPr>
        <w:t>规范性引用文件</w:t>
      </w:r>
      <w:bookmarkEnd w:id="9"/>
      <w:bookmarkEnd w:id="10"/>
    </w:p>
    <w:p>
      <w:pPr>
        <w:pStyle w:val="3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rPr>
          <w:rFonts w:hint="eastAsia" w:ascii="Times New Roman"/>
        </w:rPr>
      </w:pPr>
      <w:r>
        <w:rPr>
          <w:rFonts w:hint="eastAsia" w:ascii="Times New Roman"/>
        </w:rPr>
        <w:t>GB15618  土壤环境质量 农用地土壤污染风险管控标准</w:t>
      </w:r>
    </w:p>
    <w:p>
      <w:pPr>
        <w:pStyle w:val="31"/>
        <w:rPr>
          <w:rFonts w:hint="eastAsia" w:ascii="Times New Roman"/>
        </w:rPr>
      </w:pPr>
      <w:r>
        <w:rPr>
          <w:rFonts w:hint="eastAsia" w:ascii="Times New Roman"/>
        </w:rPr>
        <w:t>HJ 25.4  建设用地土壤修复技术导则</w:t>
      </w:r>
    </w:p>
    <w:p>
      <w:pPr>
        <w:pStyle w:val="31"/>
        <w:rPr>
          <w:rFonts w:hint="eastAsia" w:ascii="Times New Roman"/>
        </w:rPr>
      </w:pPr>
      <w:r>
        <w:rPr>
          <w:rFonts w:hint="eastAsia" w:ascii="Times New Roman"/>
        </w:rPr>
        <w:t>HJ 25.5  污染地块风险管控与修复效果评估技术导则</w:t>
      </w:r>
    </w:p>
    <w:p>
      <w:pPr>
        <w:pStyle w:val="31"/>
        <w:rPr>
          <w:rFonts w:hint="eastAsia" w:ascii="Times New Roman"/>
        </w:rPr>
      </w:pPr>
      <w:r>
        <w:rPr>
          <w:rFonts w:hint="eastAsia" w:ascii="Times New Roman"/>
        </w:rPr>
        <w:t>HJ 25.6  污染地块地下水修复和风险管控技术导则</w:t>
      </w:r>
    </w:p>
    <w:p>
      <w:pPr>
        <w:pStyle w:val="31"/>
        <w:rPr>
          <w:rFonts w:hint="eastAsia" w:ascii="Times New Roman"/>
        </w:rPr>
      </w:pPr>
      <w:r>
        <w:rPr>
          <w:rFonts w:hint="eastAsia" w:ascii="Times New Roman"/>
        </w:rPr>
        <w:t>HJ 682  建设用地土壤污染风险管控和修复术语</w:t>
      </w:r>
    </w:p>
    <w:p>
      <w:pPr>
        <w:pStyle w:val="31"/>
        <w:rPr>
          <w:rFonts w:ascii="Times New Roman"/>
        </w:rPr>
      </w:pPr>
      <w:r>
        <w:rPr>
          <w:rFonts w:hint="eastAsia" w:ascii="Times New Roman"/>
          <w:color w:val="000000"/>
          <w:szCs w:val="21"/>
        </w:rPr>
        <w:t>NY</w:t>
      </w:r>
      <w:r>
        <w:rPr>
          <w:rFonts w:ascii="Times New Roman"/>
          <w:color w:val="000000"/>
          <w:szCs w:val="21"/>
        </w:rPr>
        <w:t xml:space="preserve">/T </w:t>
      </w:r>
      <w:r>
        <w:rPr>
          <w:rFonts w:hint="eastAsia" w:ascii="Times New Roman"/>
          <w:color w:val="000000"/>
          <w:szCs w:val="21"/>
        </w:rPr>
        <w:t>3499  受污染耕地治理与修复导则</w:t>
      </w:r>
    </w:p>
    <w:p>
      <w:pPr>
        <w:pStyle w:val="41"/>
        <w:numPr>
          <w:ilvl w:val="0"/>
          <w:numId w:val="0"/>
        </w:numPr>
        <w:ind w:leftChars="0"/>
        <w:rPr>
          <w:rFonts w:hint="eastAsia"/>
        </w:rPr>
      </w:pPr>
      <w:bookmarkStart w:id="11" w:name="_Toc77232432"/>
      <w:bookmarkEnd w:id="11"/>
      <w:bookmarkStart w:id="12" w:name="_Toc77257090"/>
      <w:r>
        <w:rPr>
          <w:rFonts w:hint="eastAsia"/>
          <w:lang w:val="en-US" w:eastAsia="zh-CN"/>
        </w:rPr>
        <w:t xml:space="preserve">3  </w:t>
      </w:r>
      <w:r>
        <w:rPr>
          <w:rFonts w:hint="eastAsia"/>
        </w:rPr>
        <w:t>术语和定义</w:t>
      </w:r>
      <w:bookmarkEnd w:id="12"/>
    </w:p>
    <w:p>
      <w:pPr>
        <w:pStyle w:val="42"/>
        <w:numPr>
          <w:ilvl w:val="1"/>
          <w:numId w:val="0"/>
        </w:numPr>
        <w:ind w:leftChars="0"/>
        <w:rPr>
          <w:rFonts w:hint="default" w:eastAsia="黑体"/>
          <w:lang w:val="en-US" w:eastAsia="zh-CN"/>
        </w:rPr>
      </w:pPr>
      <w:r>
        <w:rPr>
          <w:rFonts w:hint="eastAsia"/>
          <w:lang w:val="en-US" w:eastAsia="zh-CN"/>
        </w:rPr>
        <w:t>3.1</w:t>
      </w:r>
    </w:p>
    <w:p>
      <w:pPr>
        <w:pStyle w:val="31"/>
        <w:rPr>
          <w:rFonts w:ascii="黑体" w:hAnsi="黑体" w:eastAsia="黑体"/>
        </w:rPr>
      </w:pPr>
      <w:r>
        <w:rPr>
          <w:rFonts w:hint="eastAsia" w:ascii="黑体" w:hAnsi="黑体" w:eastAsia="黑体"/>
        </w:rPr>
        <w:t>土壤 soil</w:t>
      </w:r>
    </w:p>
    <w:p>
      <w:pPr>
        <w:pStyle w:val="6"/>
        <w:ind w:firstLine="420" w:firstLineChars="200"/>
        <w:rPr>
          <w:sz w:val="24"/>
          <w:szCs w:val="24"/>
        </w:rPr>
      </w:pPr>
      <w:r>
        <w:rPr>
          <w:rFonts w:hint="eastAsia"/>
        </w:rPr>
        <w:t>由矿物质、有机质、水、空气及生物有机体组成的地球陆地表面的疏松层。</w:t>
      </w:r>
    </w:p>
    <w:p>
      <w:pPr>
        <w:pStyle w:val="31"/>
        <w:rPr>
          <w:rFonts w:ascii="Times New Roman"/>
          <w:szCs w:val="21"/>
        </w:rPr>
      </w:pPr>
      <w:r>
        <w:rPr>
          <w:rFonts w:ascii="Times New Roman"/>
        </w:rPr>
        <w:t>[来源：</w:t>
      </w:r>
      <w:r>
        <w:rPr>
          <w:rFonts w:hint="eastAsia" w:ascii="Times New Roman"/>
          <w:szCs w:val="21"/>
        </w:rPr>
        <w:t>HJ</w:t>
      </w:r>
      <w:r>
        <w:rPr>
          <w:rFonts w:ascii="Times New Roman"/>
          <w:szCs w:val="21"/>
        </w:rPr>
        <w:t xml:space="preserve"> 6</w:t>
      </w:r>
      <w:r>
        <w:rPr>
          <w:rFonts w:hint="eastAsia" w:ascii="Times New Roman"/>
          <w:szCs w:val="21"/>
        </w:rPr>
        <w:t>82</w:t>
      </w:r>
      <w:r>
        <w:rPr>
          <w:rFonts w:ascii="Times New Roman"/>
          <w:szCs w:val="21"/>
        </w:rPr>
        <w:t>-201</w:t>
      </w:r>
      <w:r>
        <w:rPr>
          <w:rFonts w:hint="eastAsia" w:ascii="Times New Roman"/>
          <w:szCs w:val="21"/>
        </w:rPr>
        <w:t>9</w:t>
      </w:r>
      <w:r>
        <w:rPr>
          <w:rFonts w:ascii="Times New Roman"/>
          <w:szCs w:val="21"/>
        </w:rPr>
        <w:t>,</w:t>
      </w:r>
      <w:r>
        <w:rPr>
          <w:rFonts w:hint="eastAsia" w:ascii="Times New Roman"/>
          <w:szCs w:val="21"/>
        </w:rPr>
        <w:t>2.1.</w:t>
      </w:r>
      <w:r>
        <w:rPr>
          <w:rFonts w:ascii="Times New Roman"/>
          <w:szCs w:val="21"/>
        </w:rPr>
        <w:t>3</w:t>
      </w:r>
      <w:r>
        <w:rPr>
          <w:rFonts w:ascii="Times New Roman"/>
        </w:rPr>
        <w:t>]</w:t>
      </w:r>
    </w:p>
    <w:p>
      <w:pPr>
        <w:pStyle w:val="42"/>
        <w:numPr>
          <w:ilvl w:val="1"/>
          <w:numId w:val="0"/>
        </w:numPr>
        <w:ind w:leftChars="0"/>
        <w:rPr>
          <w:rFonts w:hint="default" w:eastAsia="黑体"/>
          <w:lang w:val="en-US" w:eastAsia="zh-CN"/>
        </w:rPr>
      </w:pPr>
      <w:r>
        <w:rPr>
          <w:rFonts w:hint="eastAsia"/>
          <w:lang w:val="en-US" w:eastAsia="zh-CN"/>
        </w:rPr>
        <w:t>3.2</w:t>
      </w:r>
    </w:p>
    <w:p>
      <w:pPr>
        <w:pStyle w:val="31"/>
        <w:rPr>
          <w:rFonts w:hint="eastAsia" w:ascii="黑体" w:hAnsi="黑体" w:eastAsia="黑体"/>
        </w:rPr>
      </w:pPr>
      <w:r>
        <w:rPr>
          <w:rFonts w:hint="eastAsia" w:ascii="黑体" w:hAnsi="黑体" w:eastAsia="黑体"/>
        </w:rPr>
        <w:t xml:space="preserve">建设用地 land for construction </w:t>
      </w:r>
    </w:p>
    <w:p>
      <w:pPr>
        <w:pStyle w:val="31"/>
        <w:rPr>
          <w:rFonts w:hint="eastAsia"/>
          <w:szCs w:val="21"/>
        </w:rPr>
      </w:pPr>
      <w:r>
        <w:rPr>
          <w:rFonts w:hint="eastAsia"/>
          <w:szCs w:val="21"/>
        </w:rPr>
        <w:t>指建造建筑物、构筑物的土地，包括城乡住宅和公共设施用地、工矿用地、交通水利设施用地、旅游用地、军事设施用地等。</w:t>
      </w:r>
    </w:p>
    <w:p>
      <w:pPr>
        <w:pStyle w:val="31"/>
        <w:rPr>
          <w:rFonts w:hint="eastAsia"/>
          <w:szCs w:val="21"/>
        </w:rPr>
      </w:pPr>
      <w:r>
        <w:rPr>
          <w:rFonts w:hint="eastAsia"/>
        </w:rPr>
        <w:t>[来源：</w:t>
      </w:r>
      <w:r>
        <w:rPr>
          <w:rFonts w:hint="eastAsia" w:ascii="Times New Roman"/>
          <w:szCs w:val="21"/>
        </w:rPr>
        <w:t>HJ</w:t>
      </w:r>
      <w:r>
        <w:rPr>
          <w:rFonts w:ascii="Times New Roman"/>
          <w:szCs w:val="21"/>
        </w:rPr>
        <w:t xml:space="preserve"> 6</w:t>
      </w:r>
      <w:r>
        <w:rPr>
          <w:rFonts w:hint="eastAsia" w:ascii="Times New Roman"/>
          <w:szCs w:val="21"/>
        </w:rPr>
        <w:t>82</w:t>
      </w:r>
      <w:r>
        <w:rPr>
          <w:rFonts w:ascii="Times New Roman"/>
          <w:szCs w:val="21"/>
        </w:rPr>
        <w:t>-201</w:t>
      </w:r>
      <w:r>
        <w:rPr>
          <w:rFonts w:hint="eastAsia" w:ascii="Times New Roman"/>
          <w:szCs w:val="21"/>
        </w:rPr>
        <w:t>9</w:t>
      </w:r>
      <w:r>
        <w:rPr>
          <w:rFonts w:ascii="Times New Roman"/>
          <w:szCs w:val="21"/>
        </w:rPr>
        <w:t>,</w:t>
      </w:r>
      <w:r>
        <w:rPr>
          <w:rFonts w:hint="eastAsia" w:ascii="Times New Roman"/>
          <w:szCs w:val="21"/>
        </w:rPr>
        <w:t>2.1.1</w:t>
      </w:r>
      <w:r>
        <w:rPr>
          <w:rFonts w:ascii="Times New Roman"/>
        </w:rPr>
        <w:t>]</w:t>
      </w:r>
    </w:p>
    <w:p>
      <w:pPr>
        <w:pStyle w:val="42"/>
        <w:numPr>
          <w:ilvl w:val="1"/>
          <w:numId w:val="0"/>
        </w:numPr>
        <w:ind w:leftChars="0"/>
        <w:rPr>
          <w:rFonts w:hint="default" w:eastAsia="黑体"/>
          <w:lang w:val="en-US" w:eastAsia="zh-CN"/>
        </w:rPr>
      </w:pPr>
      <w:bookmarkStart w:id="13" w:name="_Toc495323455"/>
      <w:r>
        <w:rPr>
          <w:rFonts w:hint="eastAsia"/>
          <w:lang w:val="en-US" w:eastAsia="zh-CN"/>
        </w:rPr>
        <w:t>3.3</w:t>
      </w:r>
    </w:p>
    <w:p>
      <w:pPr>
        <w:pStyle w:val="31"/>
        <w:rPr>
          <w:rFonts w:hint="eastAsia" w:ascii="黑体" w:hAnsi="黑体" w:eastAsia="黑体"/>
        </w:rPr>
      </w:pPr>
      <w:r>
        <w:rPr>
          <w:rFonts w:hint="eastAsia" w:ascii="黑体" w:hAnsi="黑体" w:eastAsia="黑体"/>
        </w:rPr>
        <w:t xml:space="preserve">农用地 agricultural land </w:t>
      </w:r>
    </w:p>
    <w:p>
      <w:pPr>
        <w:pStyle w:val="31"/>
        <w:rPr>
          <w:rFonts w:hint="eastAsia"/>
          <w:szCs w:val="21"/>
        </w:rPr>
      </w:pPr>
      <w:r>
        <w:rPr>
          <w:rFonts w:hint="eastAsia"/>
          <w:szCs w:val="21"/>
        </w:rPr>
        <w:t>指GB/T21010中的01耕地（0101水田、0102水浇地、0103旱地）、02园地（0201果园、0202茶园）和04草地（0401天然牧草地、0403人工牧草地）。</w:t>
      </w:r>
    </w:p>
    <w:p>
      <w:pPr>
        <w:pStyle w:val="31"/>
        <w:rPr>
          <w:rFonts w:ascii="Times New Roman"/>
          <w:color w:val="000000"/>
        </w:rPr>
      </w:pPr>
      <w:r>
        <w:rPr>
          <w:rFonts w:hint="eastAsia"/>
          <w:color w:val="000000"/>
        </w:rPr>
        <w:t>[来</w:t>
      </w:r>
      <w:r>
        <w:rPr>
          <w:rFonts w:ascii="Times New Roman"/>
          <w:color w:val="000000"/>
        </w:rPr>
        <w:t>源：</w:t>
      </w:r>
      <w:r>
        <w:rPr>
          <w:rFonts w:hint="eastAsia" w:ascii="Times New Roman"/>
          <w:color w:val="000000"/>
          <w:szCs w:val="21"/>
        </w:rPr>
        <w:t>GB</w:t>
      </w:r>
      <w:r>
        <w:rPr>
          <w:rFonts w:ascii="Times New Roman"/>
          <w:color w:val="000000"/>
          <w:szCs w:val="21"/>
        </w:rPr>
        <w:t xml:space="preserve"> </w:t>
      </w:r>
      <w:r>
        <w:rPr>
          <w:rFonts w:hint="eastAsia" w:ascii="Times New Roman"/>
          <w:color w:val="000000"/>
          <w:szCs w:val="21"/>
        </w:rPr>
        <w:t>15618</w:t>
      </w:r>
      <w:r>
        <w:rPr>
          <w:rFonts w:ascii="Times New Roman"/>
          <w:color w:val="000000"/>
          <w:szCs w:val="21"/>
        </w:rPr>
        <w:t>-201</w:t>
      </w:r>
      <w:r>
        <w:rPr>
          <w:rFonts w:hint="eastAsia" w:ascii="Times New Roman"/>
          <w:color w:val="000000"/>
          <w:szCs w:val="21"/>
        </w:rPr>
        <w:t>8</w:t>
      </w:r>
      <w:r>
        <w:rPr>
          <w:rFonts w:ascii="Times New Roman"/>
          <w:color w:val="000000"/>
          <w:szCs w:val="21"/>
        </w:rPr>
        <w:t>,</w:t>
      </w:r>
      <w:r>
        <w:rPr>
          <w:rFonts w:hint="eastAsia" w:ascii="Times New Roman"/>
          <w:color w:val="000000"/>
          <w:szCs w:val="21"/>
        </w:rPr>
        <w:t>3.2</w:t>
      </w:r>
      <w:r>
        <w:rPr>
          <w:rFonts w:ascii="Times New Roman"/>
          <w:color w:val="000000"/>
        </w:rPr>
        <w:t>]</w:t>
      </w:r>
    </w:p>
    <w:p>
      <w:pPr>
        <w:pStyle w:val="31"/>
        <w:rPr>
          <w:rFonts w:hint="eastAsia" w:ascii="Times New Roman"/>
          <w:color w:val="000000"/>
        </w:rPr>
      </w:pPr>
    </w:p>
    <w:p>
      <w:pPr>
        <w:pStyle w:val="42"/>
        <w:numPr>
          <w:ilvl w:val="1"/>
          <w:numId w:val="0"/>
        </w:numPr>
        <w:ind w:leftChars="0"/>
        <w:rPr>
          <w:rFonts w:hint="default" w:eastAsia="黑体"/>
          <w:lang w:val="en-US" w:eastAsia="zh-CN"/>
        </w:rPr>
      </w:pPr>
      <w:r>
        <w:rPr>
          <w:rFonts w:hint="eastAsia"/>
          <w:lang w:val="en-US" w:eastAsia="zh-CN"/>
        </w:rPr>
        <w:t>3.4</w:t>
      </w:r>
    </w:p>
    <w:bookmarkEnd w:id="13"/>
    <w:p>
      <w:pPr>
        <w:pStyle w:val="31"/>
        <w:rPr>
          <w:rFonts w:hint="eastAsia" w:ascii="黑体" w:hAnsi="黑体" w:eastAsia="黑体"/>
        </w:rPr>
      </w:pPr>
      <w:r>
        <w:rPr>
          <w:rFonts w:hint="eastAsia" w:ascii="黑体" w:hAnsi="黑体" w:eastAsia="黑体"/>
        </w:rPr>
        <w:t xml:space="preserve">受污染耕地 contaminated cultivated land    </w:t>
      </w:r>
    </w:p>
    <w:p>
      <w:pPr>
        <w:pStyle w:val="31"/>
        <w:rPr>
          <w:rFonts w:hint="eastAsia"/>
          <w:szCs w:val="21"/>
        </w:rPr>
      </w:pPr>
      <w:bookmarkStart w:id="14" w:name="_Toc496105559"/>
      <w:bookmarkEnd w:id="14"/>
      <w:r>
        <w:rPr>
          <w:rFonts w:hint="eastAsia"/>
          <w:szCs w:val="21"/>
        </w:rPr>
        <w:t>污染物积累到一定程度，对周边环境造成污染，存在危害食用类农产品质量安全风险的耕地。</w:t>
      </w:r>
    </w:p>
    <w:p>
      <w:pPr>
        <w:pStyle w:val="31"/>
        <w:rPr>
          <w:rFonts w:ascii="Times New Roman"/>
          <w:color w:val="000000"/>
          <w:szCs w:val="21"/>
        </w:rPr>
      </w:pPr>
      <w:r>
        <w:rPr>
          <w:rFonts w:ascii="Times New Roman"/>
          <w:color w:val="000000"/>
        </w:rPr>
        <w:t>[来源：</w:t>
      </w:r>
      <w:r>
        <w:rPr>
          <w:rFonts w:hint="eastAsia" w:ascii="Times New Roman"/>
          <w:color w:val="000000"/>
          <w:szCs w:val="21"/>
        </w:rPr>
        <w:t>NY</w:t>
      </w:r>
      <w:r>
        <w:rPr>
          <w:rFonts w:ascii="Times New Roman"/>
          <w:color w:val="000000"/>
          <w:szCs w:val="21"/>
        </w:rPr>
        <w:t xml:space="preserve">/T </w:t>
      </w:r>
      <w:r>
        <w:rPr>
          <w:rFonts w:hint="eastAsia" w:ascii="Times New Roman"/>
          <w:color w:val="000000"/>
          <w:szCs w:val="21"/>
        </w:rPr>
        <w:t>3499</w:t>
      </w:r>
      <w:r>
        <w:rPr>
          <w:rFonts w:ascii="Times New Roman"/>
          <w:color w:val="000000"/>
          <w:szCs w:val="21"/>
        </w:rPr>
        <w:t>-201</w:t>
      </w:r>
      <w:r>
        <w:rPr>
          <w:rFonts w:hint="eastAsia" w:ascii="Times New Roman"/>
          <w:color w:val="000000"/>
          <w:szCs w:val="21"/>
        </w:rPr>
        <w:t>9</w:t>
      </w:r>
      <w:r>
        <w:rPr>
          <w:rFonts w:ascii="Times New Roman"/>
          <w:color w:val="000000"/>
          <w:szCs w:val="21"/>
        </w:rPr>
        <w:t>,3.</w:t>
      </w:r>
      <w:r>
        <w:rPr>
          <w:rFonts w:hint="eastAsia" w:ascii="Times New Roman"/>
          <w:color w:val="000000"/>
          <w:szCs w:val="21"/>
        </w:rPr>
        <w:t>2</w:t>
      </w:r>
      <w:r>
        <w:rPr>
          <w:rFonts w:ascii="Times New Roman"/>
          <w:color w:val="000000"/>
        </w:rPr>
        <w:t>]</w:t>
      </w:r>
    </w:p>
    <w:p>
      <w:pPr>
        <w:pStyle w:val="42"/>
        <w:numPr>
          <w:ilvl w:val="1"/>
          <w:numId w:val="0"/>
        </w:numPr>
        <w:ind w:leftChars="0"/>
        <w:rPr>
          <w:rFonts w:hint="default" w:eastAsia="黑体"/>
          <w:lang w:val="en-US" w:eastAsia="zh-CN"/>
        </w:rPr>
      </w:pPr>
      <w:bookmarkStart w:id="15" w:name="_Toc496105560"/>
      <w:bookmarkEnd w:id="15"/>
      <w:r>
        <w:rPr>
          <w:rFonts w:hint="eastAsia"/>
          <w:lang w:val="en-US" w:eastAsia="zh-CN"/>
        </w:rPr>
        <w:t>3.5</w:t>
      </w:r>
    </w:p>
    <w:p>
      <w:pPr>
        <w:pStyle w:val="31"/>
        <w:rPr>
          <w:rFonts w:hint="eastAsia" w:ascii="黑体" w:hAnsi="黑体" w:eastAsia="黑体"/>
          <w:highlight w:val="none"/>
        </w:rPr>
      </w:pPr>
      <w:r>
        <w:rPr>
          <w:rFonts w:hint="eastAsia" w:ascii="黑体" w:hAnsi="黑体" w:eastAsia="黑体"/>
          <w:highlight w:val="none"/>
        </w:rPr>
        <w:t>成效综合评估 comprehensive  evaluation</w:t>
      </w:r>
    </w:p>
    <w:p>
      <w:pPr>
        <w:pStyle w:val="31"/>
        <w:rPr>
          <w:szCs w:val="21"/>
          <w:highlight w:val="none"/>
        </w:rPr>
      </w:pPr>
      <w:r>
        <w:rPr>
          <w:rFonts w:hint="eastAsia"/>
          <w:szCs w:val="21"/>
          <w:highlight w:val="none"/>
        </w:rPr>
        <w:t>从土壤污染防治政策制度、建设用地土壤环境管理、农用地土壤环境管理、土壤污染源头预防等方面，对各县（市、区）</w:t>
      </w:r>
      <w:r>
        <w:rPr>
          <w:rFonts w:hint="eastAsia"/>
          <w:szCs w:val="21"/>
          <w:highlight w:val="none"/>
          <w:lang w:val="en-US" w:eastAsia="zh-CN"/>
        </w:rPr>
        <w:t>人民政府</w:t>
      </w:r>
      <w:r>
        <w:rPr>
          <w:rFonts w:hint="eastAsia"/>
          <w:szCs w:val="21"/>
          <w:highlight w:val="none"/>
        </w:rPr>
        <w:t>落实土壤环境管理要求，在土壤污染防治中取得的成效进行综合研判和评估。</w:t>
      </w:r>
    </w:p>
    <w:p>
      <w:pPr>
        <w:pStyle w:val="41"/>
        <w:numPr>
          <w:ilvl w:val="0"/>
          <w:numId w:val="0"/>
        </w:numPr>
        <w:ind w:leftChars="0"/>
        <w:outlineLvl w:val="0"/>
        <w:rPr>
          <w:rFonts w:hint="eastAsia"/>
          <w:szCs w:val="22"/>
        </w:rPr>
      </w:pPr>
      <w:r>
        <w:rPr>
          <w:rFonts w:hint="eastAsia"/>
          <w:szCs w:val="22"/>
          <w:lang w:val="en-US" w:eastAsia="zh-CN"/>
        </w:rPr>
        <w:t xml:space="preserve">4  </w:t>
      </w:r>
      <w:r>
        <w:rPr>
          <w:rFonts w:hint="eastAsia"/>
          <w:szCs w:val="22"/>
        </w:rPr>
        <w:t>总体原则</w:t>
      </w:r>
    </w:p>
    <w:p>
      <w:pPr>
        <w:pStyle w:val="42"/>
        <w:numPr>
          <w:ilvl w:val="1"/>
          <w:numId w:val="0"/>
        </w:numPr>
        <w:ind w:leftChars="0"/>
        <w:outlineLvl w:val="1"/>
      </w:pPr>
      <w:r>
        <w:rPr>
          <w:rFonts w:hint="eastAsia"/>
          <w:lang w:val="en-US" w:eastAsia="zh-CN"/>
        </w:rPr>
        <w:t xml:space="preserve">4.1 </w:t>
      </w:r>
      <w:r>
        <w:rPr>
          <w:rFonts w:hint="eastAsia"/>
        </w:rPr>
        <w:t>评估目的</w:t>
      </w:r>
    </w:p>
    <w:p>
      <w:pPr>
        <w:pStyle w:val="43"/>
        <w:numPr>
          <w:ilvl w:val="0"/>
          <w:numId w:val="0"/>
        </w:numPr>
        <w:ind w:firstLine="420" w:firstLineChars="200"/>
        <w:rPr>
          <w:rFonts w:hint="eastAsia"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开展土壤污染防治成效综合评估工作，目的是通过对各县（市、区）人民政府土壤污染防治相关工作完成情况及责任落实情况进行综合研判和评估，强化落实《土壤污染防治法》具体要求，高效</w:t>
      </w:r>
      <w:r>
        <w:rPr>
          <w:rFonts w:hint="default" w:ascii="宋体" w:hAnsi="Times New Roman" w:eastAsia="宋体" w:cs="Times New Roman"/>
          <w:sz w:val="21"/>
          <w:szCs w:val="21"/>
          <w:highlight w:val="none"/>
          <w:lang w:val="en-US" w:eastAsia="zh-CN" w:bidi="ar-SA"/>
        </w:rPr>
        <w:t>完成土壤污染防治各项重点任务</w:t>
      </w:r>
      <w:r>
        <w:rPr>
          <w:rFonts w:hint="eastAsia" w:ascii="宋体" w:hAnsi="Times New Roman" w:eastAsia="宋体" w:cs="Times New Roman"/>
          <w:sz w:val="21"/>
          <w:szCs w:val="21"/>
          <w:highlight w:val="none"/>
          <w:lang w:val="en-US" w:eastAsia="zh-CN" w:bidi="ar-SA"/>
        </w:rPr>
        <w:t>，</w:t>
      </w:r>
      <w:r>
        <w:rPr>
          <w:rFonts w:hint="default" w:ascii="宋体" w:hAnsi="Times New Roman" w:eastAsia="宋体" w:cs="Times New Roman"/>
          <w:sz w:val="21"/>
          <w:szCs w:val="21"/>
          <w:highlight w:val="none"/>
          <w:lang w:val="en-US" w:eastAsia="zh-CN" w:bidi="ar-SA"/>
        </w:rPr>
        <w:t>防治土壤污染，推动生态文明建设</w:t>
      </w:r>
      <w:r>
        <w:rPr>
          <w:rFonts w:hint="eastAsia" w:ascii="宋体" w:hAnsi="Times New Roman" w:eastAsia="宋体" w:cs="Times New Roman"/>
          <w:sz w:val="21"/>
          <w:szCs w:val="21"/>
          <w:highlight w:val="none"/>
          <w:lang w:val="en-US" w:eastAsia="zh-CN" w:bidi="ar-SA"/>
        </w:rPr>
        <w:t>。</w:t>
      </w:r>
    </w:p>
    <w:p>
      <w:pPr>
        <w:pStyle w:val="42"/>
        <w:numPr>
          <w:ilvl w:val="1"/>
          <w:numId w:val="0"/>
        </w:numPr>
        <w:ind w:leftChars="0"/>
        <w:outlineLvl w:val="1"/>
        <w:rPr>
          <w:rFonts w:ascii="Times New Roman"/>
          <w:highlight w:val="none"/>
        </w:rPr>
      </w:pPr>
      <w:r>
        <w:rPr>
          <w:rFonts w:hint="eastAsia"/>
          <w:lang w:val="en-US" w:eastAsia="zh-CN"/>
        </w:rPr>
        <w:t>4.2</w:t>
      </w:r>
      <w:r>
        <w:rPr>
          <w:rFonts w:hint="eastAsia" w:ascii="Times New Roman"/>
          <w:highlight w:val="none"/>
          <w:lang w:val="en-US" w:eastAsia="zh-CN"/>
        </w:rPr>
        <w:t xml:space="preserve">  </w:t>
      </w:r>
      <w:r>
        <w:rPr>
          <w:rFonts w:hint="eastAsia" w:ascii="Times New Roman"/>
          <w:highlight w:val="none"/>
        </w:rPr>
        <w:t>评估原则</w:t>
      </w:r>
    </w:p>
    <w:p>
      <w:pPr>
        <w:pStyle w:val="44"/>
        <w:numPr>
          <w:ilvl w:val="2"/>
          <w:numId w:val="0"/>
        </w:numPr>
        <w:spacing w:before="156" w:after="156"/>
        <w:ind w:leftChars="0"/>
        <w:rPr>
          <w:rFonts w:hint="eastAsia"/>
        </w:rPr>
      </w:pPr>
      <w:r>
        <w:rPr>
          <w:rFonts w:hint="eastAsia"/>
          <w:lang w:val="en-US" w:eastAsia="zh-CN"/>
        </w:rPr>
        <w:t>4.2.1 全面协调</w:t>
      </w:r>
    </w:p>
    <w:p>
      <w:pPr>
        <w:pStyle w:val="45"/>
        <w:ind w:firstLine="420" w:firstLineChars="200"/>
        <w:rPr>
          <w:rFonts w:hint="eastAsia"/>
        </w:rPr>
      </w:pPr>
      <w:r>
        <w:rPr>
          <w:rFonts w:hint="eastAsia" w:ascii="Times New Roman"/>
        </w:rPr>
        <w:t>土壤污染防治成效综合评估</w:t>
      </w:r>
      <w:r>
        <w:rPr>
          <w:rFonts w:hint="eastAsia" w:ascii="Times New Roman"/>
          <w:lang w:val="en-US" w:eastAsia="zh-CN"/>
        </w:rPr>
        <w:t>工作</w:t>
      </w:r>
      <w:r>
        <w:rPr>
          <w:rFonts w:hint="eastAsia" w:ascii="Times New Roman"/>
          <w:lang w:eastAsia="zh-CN"/>
        </w:rPr>
        <w:t>应</w:t>
      </w:r>
      <w:r>
        <w:rPr>
          <w:rFonts w:hint="eastAsia" w:ascii="Times New Roman"/>
          <w:lang w:val="en-US" w:eastAsia="zh-CN"/>
        </w:rPr>
        <w:t>在已确定的评估内容基础上充分考虑评估年度省、市土壤污染防治工作重点</w:t>
      </w:r>
      <w:r>
        <w:rPr>
          <w:rFonts w:hint="eastAsia" w:ascii="Times New Roman"/>
        </w:rPr>
        <w:t>，</w:t>
      </w:r>
      <w:r>
        <w:rPr>
          <w:rFonts w:hint="eastAsia" w:ascii="Times New Roman"/>
          <w:lang w:val="en-US" w:eastAsia="zh-CN"/>
        </w:rPr>
        <w:t>同时注重多部门土壤污染防治管理要求</w:t>
      </w:r>
      <w:r>
        <w:rPr>
          <w:rFonts w:hint="eastAsia" w:ascii="Times New Roman"/>
        </w:rPr>
        <w:t>。</w:t>
      </w:r>
      <w:r>
        <w:rPr>
          <w:rFonts w:hint="eastAsia"/>
        </w:rPr>
        <w:t xml:space="preserve"> </w:t>
      </w:r>
    </w:p>
    <w:p>
      <w:pPr>
        <w:pStyle w:val="44"/>
        <w:numPr>
          <w:ilvl w:val="2"/>
          <w:numId w:val="0"/>
        </w:numPr>
        <w:spacing w:before="156" w:after="156"/>
        <w:ind w:leftChars="0"/>
        <w:rPr>
          <w:rFonts w:hint="eastAsia"/>
          <w:highlight w:val="none"/>
        </w:rPr>
      </w:pPr>
      <w:r>
        <w:rPr>
          <w:rFonts w:hint="eastAsia"/>
          <w:highlight w:val="none"/>
          <w:lang w:val="en-US" w:eastAsia="zh-CN"/>
        </w:rPr>
        <w:t>4.2.2 突出重点</w:t>
      </w:r>
    </w:p>
    <w:p>
      <w:pPr>
        <w:pStyle w:val="31"/>
        <w:rPr>
          <w:rFonts w:hint="eastAsia" w:ascii="Times New Roman" w:hAnsi="Times New Roman" w:eastAsia="宋体" w:cs="Times New Roman"/>
        </w:rPr>
      </w:pPr>
      <w:r>
        <w:rPr>
          <w:rFonts w:hint="eastAsia" w:ascii="Times New Roman"/>
        </w:rPr>
        <w:t>土壤污染防治成效综合评估</w:t>
      </w:r>
      <w:r>
        <w:rPr>
          <w:rFonts w:hint="eastAsia" w:ascii="Times New Roman"/>
          <w:lang w:val="en-US" w:eastAsia="zh-CN"/>
        </w:rPr>
        <w:t>工作应以评</w:t>
      </w:r>
      <w:r>
        <w:rPr>
          <w:rFonts w:hint="eastAsia" w:ascii="Times New Roman" w:hAnsi="Times New Roman" w:eastAsia="宋体" w:cs="Times New Roman"/>
          <w:lang w:val="en-US" w:eastAsia="zh-CN"/>
        </w:rPr>
        <w:t>估各</w:t>
      </w:r>
      <w:r>
        <w:rPr>
          <w:rFonts w:hint="default" w:ascii="Times New Roman" w:hAnsi="Times New Roman" w:eastAsia="宋体" w:cs="Times New Roman"/>
          <w:lang w:val="en-US" w:eastAsia="zh-CN"/>
        </w:rPr>
        <w:t>县（市、区）人民政府</w:t>
      </w:r>
      <w:r>
        <w:rPr>
          <w:rFonts w:hint="eastAsia" w:ascii="Times New Roman" w:hAnsi="Times New Roman" w:eastAsia="宋体" w:cs="Times New Roman"/>
          <w:lang w:val="en-US" w:eastAsia="zh-CN"/>
        </w:rPr>
        <w:t>土壤污染防治目标任务</w:t>
      </w:r>
      <w:r>
        <w:rPr>
          <w:rFonts w:hint="default" w:ascii="Times New Roman" w:hAnsi="Times New Roman" w:eastAsia="宋体" w:cs="Times New Roman"/>
          <w:lang w:val="en-US" w:eastAsia="zh-CN"/>
        </w:rPr>
        <w:t>完成情况</w:t>
      </w:r>
      <w:r>
        <w:rPr>
          <w:rFonts w:hint="eastAsia" w:ascii="Times New Roman" w:hAnsi="Times New Roman" w:eastAsia="宋体" w:cs="Times New Roman"/>
          <w:lang w:val="en-US" w:eastAsia="zh-CN"/>
        </w:rPr>
        <w:t>为主，重点评估</w:t>
      </w:r>
      <w:r>
        <w:rPr>
          <w:rFonts w:hint="eastAsia" w:ascii="Times New Roman" w:hAnsi="Times New Roman" w:eastAsia="宋体" w:cs="Times New Roman"/>
        </w:rPr>
        <w:t>土壤污染防治政策制度、建设用地土壤环境管理、农用地土壤环境管理、土壤污染源头预防等方面</w:t>
      </w:r>
      <w:r>
        <w:rPr>
          <w:rFonts w:hint="eastAsia" w:ascii="Times New Roman" w:hAnsi="Times New Roman" w:eastAsia="宋体" w:cs="Times New Roman"/>
          <w:lang w:val="en-US" w:eastAsia="zh-CN"/>
        </w:rPr>
        <w:t>工作落实情况</w:t>
      </w:r>
      <w:r>
        <w:rPr>
          <w:rFonts w:hint="eastAsia" w:ascii="Times New Roman" w:hAnsi="Times New Roman" w:eastAsia="宋体" w:cs="Times New Roman"/>
        </w:rPr>
        <w:t>。</w:t>
      </w:r>
    </w:p>
    <w:p>
      <w:pPr>
        <w:pStyle w:val="44"/>
        <w:numPr>
          <w:ilvl w:val="2"/>
          <w:numId w:val="0"/>
        </w:numPr>
        <w:spacing w:before="156" w:after="156"/>
        <w:ind w:leftChars="0"/>
        <w:rPr>
          <w:rFonts w:hint="eastAsia"/>
        </w:rPr>
      </w:pPr>
      <w:r>
        <w:rPr>
          <w:rFonts w:hint="eastAsia"/>
          <w:lang w:val="en-US" w:eastAsia="zh-CN"/>
        </w:rPr>
        <w:t>4.2.3 紧密联动</w:t>
      </w:r>
    </w:p>
    <w:p>
      <w:pPr>
        <w:pStyle w:val="45"/>
        <w:ind w:firstLine="420" w:firstLineChars="200"/>
      </w:pPr>
      <w:r>
        <w:rPr>
          <w:rFonts w:hint="eastAsia" w:ascii="Times New Roman"/>
        </w:rPr>
        <w:t>土壤污染防治成效综合评估</w:t>
      </w:r>
      <w:r>
        <w:rPr>
          <w:rFonts w:hint="eastAsia" w:ascii="Times New Roman"/>
          <w:lang w:val="en-US" w:eastAsia="zh-CN"/>
        </w:rPr>
        <w:t>工作</w:t>
      </w:r>
      <w:r>
        <w:rPr>
          <w:rFonts w:hint="eastAsia"/>
          <w:lang w:eastAsia="zh-CN"/>
        </w:rPr>
        <w:t>应</w:t>
      </w:r>
      <w:r>
        <w:rPr>
          <w:rFonts w:hint="eastAsia"/>
          <w:lang w:val="en-US" w:eastAsia="zh-CN"/>
        </w:rPr>
        <w:t>加强与农业农村、自然资源、住房与城乡建设等负有土壤污染防治监督管理职责的部门联动配合。</w:t>
      </w:r>
    </w:p>
    <w:p>
      <w:pPr>
        <w:pStyle w:val="41"/>
        <w:numPr>
          <w:ilvl w:val="0"/>
          <w:numId w:val="0"/>
        </w:numPr>
        <w:ind w:leftChars="0"/>
        <w:outlineLvl w:val="0"/>
        <w:rPr>
          <w:rFonts w:hint="eastAsia" w:hAnsi="Times New Roman" w:cs="Times New Roman"/>
          <w:szCs w:val="22"/>
        </w:rPr>
      </w:pPr>
      <w:r>
        <w:rPr>
          <w:rFonts w:hint="eastAsia" w:cs="Times New Roman"/>
          <w:szCs w:val="22"/>
          <w:lang w:val="en-US" w:eastAsia="zh-CN"/>
        </w:rPr>
        <w:t xml:space="preserve">5  </w:t>
      </w:r>
      <w:r>
        <w:rPr>
          <w:rFonts w:hint="eastAsia" w:hAnsi="Times New Roman" w:cs="Times New Roman"/>
          <w:szCs w:val="22"/>
        </w:rPr>
        <w:t>工作程序</w:t>
      </w:r>
    </w:p>
    <w:p>
      <w:pPr>
        <w:pStyle w:val="31"/>
        <w:rPr>
          <w:rFonts w:hint="eastAsia"/>
        </w:rPr>
      </w:pPr>
      <w:r>
        <w:rPr>
          <w:rFonts w:hint="eastAsia"/>
        </w:rPr>
        <w:t>土壤污染防治成效综合评估工作程序见图1。</w:t>
      </w:r>
    </w:p>
    <w:p>
      <w:pPr>
        <w:pStyle w:val="31"/>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lang w:eastAsia="zh-CN"/>
        </w:rPr>
      </w:pPr>
      <w:r>
        <w:rPr>
          <w:rFonts w:hint="eastAsia" w:eastAsia="宋体"/>
          <w:lang w:eastAsia="zh-CN"/>
        </w:rPr>
        <w:drawing>
          <wp:inline distT="0" distB="0" distL="114300" distR="114300">
            <wp:extent cx="3682365" cy="6382385"/>
            <wp:effectExtent l="0" t="0" r="635" b="5715"/>
            <wp:docPr id="1" name="图片 1" descr="综合评估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综合评估流程图(1)"/>
                    <pic:cNvPicPr>
                      <a:picLocks noChangeAspect="1"/>
                    </pic:cNvPicPr>
                  </pic:nvPicPr>
                  <pic:blipFill>
                    <a:blip r:embed="rId13"/>
                    <a:srcRect b="1509"/>
                    <a:stretch>
                      <a:fillRect/>
                    </a:stretch>
                  </pic:blipFill>
                  <pic:spPr>
                    <a:xfrm>
                      <a:off x="0" y="0"/>
                      <a:ext cx="3682365" cy="6382385"/>
                    </a:xfrm>
                    <a:prstGeom prst="rect">
                      <a:avLst/>
                    </a:prstGeom>
                    <a:noFill/>
                    <a:ln>
                      <a:noFill/>
                    </a:ln>
                  </pic:spPr>
                </pic:pic>
              </a:graphicData>
            </a:graphic>
          </wp:inline>
        </w:drawing>
      </w:r>
    </w:p>
    <w:p>
      <w:pPr>
        <w:autoSpaceDE w:val="0"/>
        <w:autoSpaceDN w:val="0"/>
        <w:spacing w:before="156" w:beforeLines="50"/>
        <w:jc w:val="center"/>
        <w:rPr>
          <w:rFonts w:hint="eastAsia" w:ascii="黑体" w:eastAsia="黑体"/>
          <w:highlight w:val="none"/>
        </w:rPr>
      </w:pPr>
      <w:bookmarkStart w:id="16" w:name="_Toc10426_WPSOffice_Level2"/>
      <w:r>
        <w:rPr>
          <w:rFonts w:hint="eastAsia" w:ascii="黑体" w:eastAsia="黑体"/>
          <w:highlight w:val="none"/>
        </w:rPr>
        <w:t>图1  土壤污染防治成效综合评估工作程序</w:t>
      </w:r>
      <w:bookmarkEnd w:id="16"/>
    </w:p>
    <w:p>
      <w:pPr>
        <w:pStyle w:val="41"/>
        <w:numPr>
          <w:ilvl w:val="0"/>
          <w:numId w:val="0"/>
        </w:numPr>
        <w:ind w:leftChars="0"/>
        <w:rPr>
          <w:rFonts w:hint="eastAsia"/>
        </w:rPr>
      </w:pPr>
      <w:r>
        <w:rPr>
          <w:rFonts w:hint="eastAsia"/>
          <w:lang w:val="en-US" w:eastAsia="zh-CN"/>
        </w:rPr>
        <w:t xml:space="preserve">6  </w:t>
      </w:r>
      <w:r>
        <w:rPr>
          <w:rFonts w:hint="eastAsia"/>
        </w:rPr>
        <w:t>工作准备</w:t>
      </w:r>
    </w:p>
    <w:p>
      <w:pPr>
        <w:pStyle w:val="42"/>
        <w:numPr>
          <w:ilvl w:val="1"/>
          <w:numId w:val="0"/>
        </w:numPr>
        <w:ind w:leftChars="0"/>
        <w:rPr>
          <w:rFonts w:hint="eastAsia"/>
        </w:rPr>
      </w:pPr>
      <w:r>
        <w:rPr>
          <w:rFonts w:hint="eastAsia"/>
          <w:lang w:val="en-US" w:eastAsia="zh-CN"/>
        </w:rPr>
        <w:t xml:space="preserve">6.1 </w:t>
      </w:r>
      <w:r>
        <w:rPr>
          <w:rFonts w:hint="eastAsia"/>
        </w:rPr>
        <w:t>人员准备</w:t>
      </w:r>
    </w:p>
    <w:p>
      <w:pPr>
        <w:pStyle w:val="43"/>
        <w:numPr>
          <w:ilvl w:val="0"/>
          <w:numId w:val="0"/>
        </w:numPr>
        <w:ind w:firstLine="420" w:firstLineChars="200"/>
        <w:rPr>
          <w:rFonts w:hint="eastAsia"/>
        </w:rPr>
      </w:pPr>
      <w:r>
        <w:rPr>
          <w:rFonts w:hint="eastAsia"/>
          <w:lang w:val="en-US" w:eastAsia="zh-CN"/>
        </w:rPr>
        <w:t>第三方</w:t>
      </w:r>
      <w:r>
        <w:rPr>
          <w:rFonts w:hint="eastAsia"/>
        </w:rPr>
        <w:t>评估机构应</w:t>
      </w:r>
      <w:r>
        <w:rPr>
          <w:rFonts w:hint="eastAsia"/>
          <w:highlight w:val="none"/>
        </w:rPr>
        <w:t>成立</w:t>
      </w:r>
      <w:r>
        <w:rPr>
          <w:rFonts w:hint="eastAsia"/>
        </w:rPr>
        <w:t>土壤污染防治成效综合评估工作组，从事评估的人员</w:t>
      </w:r>
      <w:r>
        <w:rPr>
          <w:rFonts w:hint="eastAsia"/>
          <w:lang w:val="en-US" w:eastAsia="zh-CN"/>
        </w:rPr>
        <w:t>应</w:t>
      </w:r>
      <w:r>
        <w:rPr>
          <w:rFonts w:hint="eastAsia"/>
        </w:rPr>
        <w:t>掌握土壤污染防治相关法律法规、政策规定、标准规范。</w:t>
      </w:r>
    </w:p>
    <w:p>
      <w:pPr>
        <w:pStyle w:val="42"/>
        <w:numPr>
          <w:ilvl w:val="1"/>
          <w:numId w:val="0"/>
        </w:numPr>
        <w:ind w:leftChars="0"/>
        <w:outlineLvl w:val="1"/>
        <w:rPr>
          <w:rFonts w:hint="eastAsia"/>
        </w:rPr>
      </w:pPr>
      <w:r>
        <w:rPr>
          <w:rFonts w:hint="eastAsia"/>
          <w:lang w:val="en-US" w:eastAsia="zh-CN"/>
        </w:rPr>
        <w:t xml:space="preserve">6.2 </w:t>
      </w:r>
      <w:r>
        <w:rPr>
          <w:rFonts w:hint="eastAsia"/>
        </w:rPr>
        <w:t>设备准备</w:t>
      </w:r>
    </w:p>
    <w:p>
      <w:pPr>
        <w:pStyle w:val="31"/>
        <w:rPr>
          <w:rFonts w:hint="eastAsia"/>
          <w:highlight w:val="yellow"/>
        </w:rPr>
      </w:pPr>
      <w:r>
        <w:rPr>
          <w:rFonts w:hint="eastAsia"/>
        </w:rPr>
        <w:t>评估工作组</w:t>
      </w:r>
      <w:r>
        <w:rPr>
          <w:rFonts w:hint="eastAsia"/>
          <w:lang w:val="en-US" w:eastAsia="zh-CN"/>
        </w:rPr>
        <w:t>应</w:t>
      </w:r>
      <w:r>
        <w:rPr>
          <w:rFonts w:hint="eastAsia"/>
        </w:rPr>
        <w:t>配备必要的仪器设备，包括且不限于电脑、照相机、卫星定位仪</w:t>
      </w:r>
      <w:r>
        <w:rPr>
          <w:rFonts w:hint="eastAsia"/>
          <w:lang w:val="en-US" w:eastAsia="zh-CN"/>
        </w:rPr>
        <w:t>等</w:t>
      </w:r>
      <w:r>
        <w:rPr>
          <w:rFonts w:hint="eastAsia"/>
          <w:highlight w:val="none"/>
        </w:rPr>
        <w:t>。</w:t>
      </w:r>
    </w:p>
    <w:p>
      <w:pPr>
        <w:pStyle w:val="41"/>
        <w:numPr>
          <w:ilvl w:val="0"/>
          <w:numId w:val="0"/>
        </w:numPr>
        <w:ind w:leftChars="0"/>
        <w:rPr>
          <w:rFonts w:hint="eastAsia"/>
        </w:rPr>
      </w:pPr>
      <w:r>
        <w:rPr>
          <w:rFonts w:hint="eastAsia"/>
          <w:lang w:val="en-US" w:eastAsia="zh-CN"/>
        </w:rPr>
        <w:t xml:space="preserve">7  </w:t>
      </w:r>
      <w:r>
        <w:rPr>
          <w:rFonts w:hint="eastAsia"/>
        </w:rPr>
        <w:t>制定工作方案</w:t>
      </w:r>
    </w:p>
    <w:p>
      <w:pPr>
        <w:pStyle w:val="42"/>
        <w:numPr>
          <w:ilvl w:val="1"/>
          <w:numId w:val="0"/>
        </w:numPr>
        <w:ind w:leftChars="0"/>
        <w:outlineLvl w:val="1"/>
        <w:rPr>
          <w:rFonts w:hint="eastAsia"/>
        </w:rPr>
      </w:pPr>
      <w:r>
        <w:rPr>
          <w:rFonts w:hint="eastAsia"/>
          <w:lang w:val="en-US" w:eastAsia="zh-CN"/>
        </w:rPr>
        <w:t xml:space="preserve">7.1 </w:t>
      </w:r>
      <w:r>
        <w:rPr>
          <w:rFonts w:hint="eastAsia"/>
        </w:rPr>
        <w:t>资料准备与分析</w:t>
      </w:r>
    </w:p>
    <w:p>
      <w:pPr>
        <w:pStyle w:val="43"/>
        <w:numPr>
          <w:ilvl w:val="2"/>
          <w:numId w:val="0"/>
        </w:numPr>
        <w:ind w:leftChars="0"/>
        <w:rPr>
          <w:highlight w:val="none"/>
        </w:rPr>
      </w:pPr>
      <w:r>
        <w:rPr>
          <w:rFonts w:hint="eastAsia"/>
          <w:highlight w:val="none"/>
          <w:lang w:val="en-US" w:eastAsia="zh-CN"/>
        </w:rPr>
        <w:t xml:space="preserve">7.1.1 </w:t>
      </w:r>
      <w:r>
        <w:rPr>
          <w:rFonts w:hint="eastAsia"/>
          <w:highlight w:val="none"/>
        </w:rPr>
        <w:t>资料准备</w:t>
      </w:r>
    </w:p>
    <w:p>
      <w:pPr>
        <w:pStyle w:val="31"/>
      </w:pPr>
      <w:r>
        <w:t>收集被评估县（市、区）以下</w:t>
      </w:r>
      <w:r>
        <w:rPr>
          <w:rFonts w:hint="eastAsia"/>
          <w:lang w:val="en-US" w:eastAsia="zh-CN"/>
        </w:rPr>
        <w:t>相关</w:t>
      </w:r>
      <w:r>
        <w:t>资料：</w:t>
      </w:r>
    </w:p>
    <w:p>
      <w:pPr>
        <w:pStyle w:val="31"/>
      </w:pPr>
      <w:r>
        <w:rPr>
          <w:rFonts w:hint="eastAsia"/>
        </w:rPr>
        <w:t>a</w:t>
      </w:r>
      <w:r>
        <w:t>）省、市土壤污染防治相关</w:t>
      </w:r>
      <w:r>
        <w:rPr>
          <w:rFonts w:hint="eastAsia"/>
          <w:lang w:val="en-US" w:eastAsia="zh-CN"/>
        </w:rPr>
        <w:t>规划</w:t>
      </w:r>
      <w:r>
        <w:t>、</w:t>
      </w:r>
      <w:r>
        <w:rPr>
          <w:rFonts w:hint="eastAsia"/>
          <w:lang w:val="en-US" w:eastAsia="zh-CN"/>
        </w:rPr>
        <w:t>年度工作方案、</w:t>
      </w:r>
      <w:r>
        <w:t>任务书，及县（市、区）制定的土壤污染防治工作方案、计划等。</w:t>
      </w:r>
    </w:p>
    <w:p>
      <w:pPr>
        <w:pStyle w:val="31"/>
      </w:pPr>
      <w:r>
        <w:rPr>
          <w:rFonts w:hint="eastAsia"/>
        </w:rPr>
        <w:t>b</w:t>
      </w:r>
      <w:r>
        <w:t>）自然地理、水文地质、土壤类型、自然环境概况、社会环境概况、主要土壤环境问题等资料；</w:t>
      </w:r>
    </w:p>
    <w:p>
      <w:pPr>
        <w:pStyle w:val="31"/>
      </w:pPr>
      <w:r>
        <w:rPr>
          <w:rFonts w:hint="eastAsia"/>
        </w:rPr>
        <w:t>c</w:t>
      </w:r>
      <w:r>
        <w:t>）土地利用现状、发展规划及与土地利用相关的其他资料；</w:t>
      </w:r>
    </w:p>
    <w:p>
      <w:pPr>
        <w:pStyle w:val="31"/>
      </w:pPr>
      <w:r>
        <w:rPr>
          <w:rFonts w:hint="eastAsia"/>
        </w:rPr>
        <w:t>d</w:t>
      </w:r>
      <w:r>
        <w:t>）耕地质量类别划定、土壤污染状况详查等资料；</w:t>
      </w:r>
    </w:p>
    <w:p>
      <w:pPr>
        <w:pStyle w:val="31"/>
      </w:pPr>
      <w:r>
        <w:rPr>
          <w:rFonts w:hint="eastAsia"/>
        </w:rPr>
        <w:t>e</w:t>
      </w:r>
      <w:r>
        <w:t>）工矿企业及主要污染源分布等资料；</w:t>
      </w:r>
    </w:p>
    <w:p>
      <w:pPr>
        <w:pStyle w:val="31"/>
        <w:rPr>
          <w:rFonts w:hint="eastAsia" w:eastAsia="宋体"/>
          <w:highlight w:val="none"/>
          <w:lang w:eastAsia="zh-CN"/>
        </w:rPr>
      </w:pPr>
      <w:r>
        <w:rPr>
          <w:rFonts w:hint="eastAsia"/>
          <w:highlight w:val="none"/>
        </w:rPr>
        <w:t>f</w:t>
      </w:r>
      <w:r>
        <w:rPr>
          <w:highlight w:val="none"/>
        </w:rPr>
        <w:t>）土壤污染</w:t>
      </w:r>
      <w:r>
        <w:rPr>
          <w:rFonts w:hint="eastAsia"/>
          <w:highlight w:val="none"/>
        </w:rPr>
        <w:t>防治</w:t>
      </w:r>
      <w:r>
        <w:rPr>
          <w:highlight w:val="none"/>
        </w:rPr>
        <w:t>项目清单</w:t>
      </w:r>
      <w:r>
        <w:rPr>
          <w:rFonts w:hint="eastAsia"/>
          <w:highlight w:val="none"/>
          <w:lang w:val="en-US" w:eastAsia="zh-CN"/>
        </w:rPr>
        <w:t>及资金执行及管理</w:t>
      </w:r>
      <w:r>
        <w:rPr>
          <w:highlight w:val="none"/>
        </w:rPr>
        <w:t>等资料</w:t>
      </w:r>
      <w:r>
        <w:rPr>
          <w:rFonts w:hint="eastAsia"/>
          <w:highlight w:val="none"/>
          <w:lang w:eastAsia="zh-CN"/>
        </w:rPr>
        <w:t>；</w:t>
      </w:r>
    </w:p>
    <w:p>
      <w:pPr>
        <w:pStyle w:val="31"/>
        <w:rPr>
          <w:rFonts w:hint="eastAsia" w:eastAsia="宋体"/>
          <w:lang w:eastAsia="zh-CN"/>
        </w:rPr>
      </w:pPr>
      <w:r>
        <w:rPr>
          <w:rFonts w:hint="eastAsia"/>
          <w:lang w:val="en-US" w:eastAsia="zh-CN"/>
        </w:rPr>
        <w:t>g</w:t>
      </w:r>
      <w:r>
        <w:t>）</w:t>
      </w:r>
      <w:r>
        <w:rPr>
          <w:rFonts w:hint="eastAsia"/>
          <w:lang w:val="en-US" w:eastAsia="zh-CN"/>
        </w:rPr>
        <w:t>其他</w:t>
      </w:r>
      <w:r>
        <w:t>资料</w:t>
      </w:r>
      <w:r>
        <w:rPr>
          <w:rFonts w:hint="eastAsia"/>
          <w:lang w:eastAsia="zh-CN"/>
        </w:rPr>
        <w:t>。</w:t>
      </w:r>
    </w:p>
    <w:p>
      <w:pPr>
        <w:pStyle w:val="43"/>
        <w:numPr>
          <w:ilvl w:val="2"/>
          <w:numId w:val="0"/>
        </w:numPr>
        <w:ind w:leftChars="0"/>
        <w:rPr>
          <w:rFonts w:ascii="Times New Roman"/>
        </w:rPr>
      </w:pPr>
      <w:r>
        <w:rPr>
          <w:rFonts w:hint="eastAsia"/>
          <w:lang w:val="en-US" w:eastAsia="zh-CN"/>
        </w:rPr>
        <w:t xml:space="preserve">7.1.2 </w:t>
      </w:r>
      <w:r>
        <w:t>资料分析</w:t>
      </w:r>
    </w:p>
    <w:p>
      <w:pPr>
        <w:pStyle w:val="31"/>
      </w:pPr>
      <w:r>
        <w:t>综合分析上述资料，</w:t>
      </w:r>
      <w:r>
        <w:rPr>
          <w:rFonts w:hint="eastAsia"/>
          <w:lang w:val="en-US" w:eastAsia="zh-CN"/>
        </w:rPr>
        <w:t>明确</w:t>
      </w:r>
      <w:r>
        <w:rPr>
          <w:rFonts w:hint="eastAsia"/>
        </w:rPr>
        <w:t>被评估</w:t>
      </w:r>
      <w:r>
        <w:t>县（市、区）土壤污染防治相关工作任务，初步研判各项任务落实情况和实施成效，</w:t>
      </w:r>
      <w:r>
        <w:rPr>
          <w:rFonts w:hint="eastAsia"/>
          <w:lang w:val="en-US" w:eastAsia="zh-CN"/>
        </w:rPr>
        <w:t>分析</w:t>
      </w:r>
      <w:r>
        <w:t>可能存在的问题及其影响因素，梳理土壤污染</w:t>
      </w:r>
      <w:r>
        <w:rPr>
          <w:rFonts w:hint="eastAsia"/>
        </w:rPr>
        <w:t>防治</w:t>
      </w:r>
      <w:r>
        <w:t>成效综合评估工作的重点、难点。</w:t>
      </w:r>
    </w:p>
    <w:p>
      <w:pPr>
        <w:pStyle w:val="42"/>
        <w:numPr>
          <w:ilvl w:val="1"/>
          <w:numId w:val="0"/>
        </w:numPr>
        <w:ind w:leftChars="0"/>
        <w:outlineLvl w:val="1"/>
        <w:rPr>
          <w:rFonts w:hint="eastAsia"/>
        </w:rPr>
      </w:pPr>
      <w:r>
        <w:rPr>
          <w:rFonts w:hint="eastAsia"/>
          <w:lang w:val="en-US" w:eastAsia="zh-CN"/>
        </w:rPr>
        <w:t xml:space="preserve">7.2 </w:t>
      </w:r>
      <w:r>
        <w:rPr>
          <w:rFonts w:hint="eastAsia"/>
        </w:rPr>
        <w:t>编制工作方案</w:t>
      </w:r>
    </w:p>
    <w:p>
      <w:pPr>
        <w:pStyle w:val="43"/>
        <w:numPr>
          <w:ilvl w:val="2"/>
          <w:numId w:val="0"/>
        </w:numPr>
        <w:ind w:leftChars="0"/>
        <w:rPr>
          <w:rFonts w:ascii="Times New Roman"/>
        </w:rPr>
      </w:pPr>
      <w:r>
        <w:rPr>
          <w:rFonts w:hint="eastAsia" w:ascii="Times New Roman"/>
          <w:lang w:val="en-US" w:eastAsia="zh-CN"/>
        </w:rPr>
        <w:t xml:space="preserve">7.2.1 </w:t>
      </w:r>
      <w:r>
        <w:rPr>
          <w:rFonts w:hint="eastAsia" w:ascii="Times New Roman"/>
        </w:rPr>
        <w:t>评估工作方案的内容应包括：评估工作依据的法律法规、政策、标准规范等，评估的主要内容，评估工作的技术路线，评估工作具体部署，评估工作的组织管理</w:t>
      </w:r>
      <w:r>
        <w:rPr>
          <w:rFonts w:hint="eastAsia" w:ascii="Times New Roman"/>
          <w:lang w:val="en-US" w:eastAsia="zh-CN"/>
        </w:rPr>
        <w:t>及人员安排</w:t>
      </w:r>
      <w:r>
        <w:rPr>
          <w:rFonts w:hint="eastAsia" w:ascii="Times New Roman"/>
        </w:rPr>
        <w:t>，评估经费预算</w:t>
      </w:r>
      <w:r>
        <w:rPr>
          <w:rFonts w:hint="eastAsia" w:ascii="Times New Roman"/>
          <w:lang w:eastAsia="zh-CN"/>
        </w:rPr>
        <w:t>，</w:t>
      </w:r>
      <w:r>
        <w:rPr>
          <w:rFonts w:hint="eastAsia" w:ascii="Times New Roman"/>
          <w:lang w:val="en-US" w:eastAsia="zh-CN"/>
        </w:rPr>
        <w:t>质量保证和安全措施</w:t>
      </w:r>
      <w:r>
        <w:rPr>
          <w:rFonts w:hint="eastAsia" w:ascii="Times New Roman"/>
        </w:rPr>
        <w:t>等。</w:t>
      </w:r>
    </w:p>
    <w:p>
      <w:pPr>
        <w:pStyle w:val="43"/>
        <w:numPr>
          <w:ilvl w:val="2"/>
          <w:numId w:val="0"/>
        </w:numPr>
        <w:ind w:leftChars="0"/>
        <w:rPr>
          <w:rFonts w:ascii="Times New Roman"/>
        </w:rPr>
      </w:pPr>
      <w:r>
        <w:rPr>
          <w:rFonts w:hint="eastAsia" w:ascii="Times New Roman"/>
          <w:lang w:val="en-US" w:eastAsia="zh-CN"/>
        </w:rPr>
        <w:t xml:space="preserve">7.2.2 </w:t>
      </w:r>
      <w:r>
        <w:rPr>
          <w:rFonts w:hint="eastAsia" w:ascii="Times New Roman"/>
        </w:rPr>
        <w:t>土壤染防治成效综合评估工作方案编写参照附录A。</w:t>
      </w:r>
    </w:p>
    <w:p>
      <w:pPr>
        <w:pStyle w:val="41"/>
        <w:numPr>
          <w:ilvl w:val="0"/>
          <w:numId w:val="0"/>
        </w:numPr>
        <w:ind w:leftChars="0"/>
        <w:rPr>
          <w:rFonts w:hint="eastAsia"/>
        </w:rPr>
      </w:pPr>
      <w:r>
        <w:rPr>
          <w:rFonts w:hint="eastAsia"/>
          <w:lang w:val="en-US" w:eastAsia="zh-CN"/>
        </w:rPr>
        <w:t xml:space="preserve">8  </w:t>
      </w:r>
      <w:r>
        <w:rPr>
          <w:rFonts w:hint="eastAsia"/>
        </w:rPr>
        <w:t>实施评估</w:t>
      </w:r>
    </w:p>
    <w:p>
      <w:pPr>
        <w:pStyle w:val="43"/>
        <w:numPr>
          <w:ilvl w:val="0"/>
          <w:numId w:val="0"/>
        </w:numPr>
        <w:ind w:firstLine="420" w:firstLineChars="200"/>
        <w:rPr>
          <w:rFonts w:hint="eastAsia" w:ascii="Times New Roman"/>
        </w:rPr>
      </w:pPr>
      <w:r>
        <w:rPr>
          <w:rFonts w:hint="eastAsia" w:ascii="Times New Roman"/>
        </w:rPr>
        <w:t>评估工作可采用文件查阅、实地调研、座谈会、专家咨询论证、公众调查等形式开展，</w:t>
      </w:r>
      <w:r>
        <w:rPr>
          <w:rFonts w:hint="eastAsia" w:ascii="Times New Roman"/>
          <w:lang w:val="en-US" w:eastAsia="zh-CN"/>
        </w:rPr>
        <w:t>多部门统筹联动，</w:t>
      </w:r>
      <w:r>
        <w:rPr>
          <w:rFonts w:hint="eastAsia" w:ascii="Times New Roman"/>
        </w:rPr>
        <w:t>收集意见建议，完成以下内容的评估工作。</w:t>
      </w:r>
    </w:p>
    <w:p>
      <w:pPr>
        <w:pStyle w:val="42"/>
        <w:numPr>
          <w:ilvl w:val="1"/>
          <w:numId w:val="0"/>
        </w:numPr>
        <w:ind w:leftChars="0"/>
        <w:outlineLvl w:val="1"/>
        <w:rPr>
          <w:rFonts w:hint="eastAsia"/>
        </w:rPr>
      </w:pPr>
      <w:r>
        <w:rPr>
          <w:rFonts w:hint="eastAsia"/>
          <w:lang w:val="en-US" w:eastAsia="zh-CN"/>
        </w:rPr>
        <w:t xml:space="preserve">8.1 </w:t>
      </w:r>
      <w:r>
        <w:rPr>
          <w:rFonts w:hint="eastAsia"/>
        </w:rPr>
        <w:t>土壤污染防治政策制度</w:t>
      </w:r>
    </w:p>
    <w:p>
      <w:pPr>
        <w:pStyle w:val="43"/>
        <w:numPr>
          <w:ilvl w:val="0"/>
          <w:numId w:val="0"/>
        </w:numPr>
        <w:ind w:firstLine="420" w:firstLineChars="200"/>
        <w:rPr>
          <w:rFonts w:hint="eastAsia" w:ascii="Times New Roman"/>
          <w:color w:val="auto"/>
        </w:rPr>
      </w:pPr>
      <w:r>
        <w:rPr>
          <w:rFonts w:hint="eastAsia" w:ascii="Times New Roman"/>
          <w:color w:val="auto"/>
        </w:rPr>
        <w:t>将土壤污染防治工作纳入国民经济和社会发展规划、环境保护规划</w:t>
      </w:r>
      <w:r>
        <w:rPr>
          <w:rFonts w:hint="eastAsia" w:ascii="Times New Roman"/>
          <w:color w:val="auto"/>
          <w:lang w:val="en-US" w:eastAsia="zh-CN"/>
        </w:rPr>
        <w:t>情况</w:t>
      </w:r>
      <w:r>
        <w:rPr>
          <w:rFonts w:hint="eastAsia" w:ascii="Times New Roman"/>
          <w:color w:val="auto"/>
        </w:rPr>
        <w:t>；制定出台本行政区土壤污染防治相关工作要求情况。</w:t>
      </w:r>
    </w:p>
    <w:p>
      <w:pPr>
        <w:pStyle w:val="42"/>
        <w:numPr>
          <w:ilvl w:val="1"/>
          <w:numId w:val="0"/>
        </w:numPr>
        <w:ind w:leftChars="0"/>
        <w:outlineLvl w:val="1"/>
        <w:rPr>
          <w:rFonts w:hint="eastAsia"/>
        </w:rPr>
      </w:pPr>
      <w:r>
        <w:rPr>
          <w:rFonts w:hint="eastAsia"/>
          <w:lang w:val="en-US" w:eastAsia="zh-CN"/>
        </w:rPr>
        <w:t xml:space="preserve">8.2 </w:t>
      </w:r>
      <w:r>
        <w:rPr>
          <w:rFonts w:hint="eastAsia"/>
        </w:rPr>
        <w:t>建设用地土壤环境管理</w:t>
      </w:r>
    </w:p>
    <w:p>
      <w:pPr>
        <w:pStyle w:val="43"/>
        <w:numPr>
          <w:ilvl w:val="2"/>
          <w:numId w:val="0"/>
        </w:numPr>
        <w:ind w:leftChars="0"/>
        <w:rPr>
          <w:rFonts w:hint="eastAsia"/>
        </w:rPr>
      </w:pPr>
      <w:r>
        <w:rPr>
          <w:rFonts w:hint="eastAsia"/>
          <w:lang w:val="en-US" w:eastAsia="zh-CN"/>
        </w:rPr>
        <w:t xml:space="preserve">8.2.1 </w:t>
      </w:r>
      <w:r>
        <w:rPr>
          <w:rFonts w:hint="eastAsia"/>
        </w:rPr>
        <w:t>土壤污染重点监管单位</w:t>
      </w:r>
    </w:p>
    <w:p>
      <w:pPr>
        <w:pStyle w:val="43"/>
        <w:numPr>
          <w:ilvl w:val="0"/>
          <w:numId w:val="0"/>
        </w:numPr>
        <w:ind w:firstLine="420" w:firstLineChars="200"/>
        <w:rPr>
          <w:rFonts w:hint="eastAsia"/>
        </w:rPr>
      </w:pPr>
      <w:r>
        <w:rPr>
          <w:rFonts w:hint="eastAsia"/>
        </w:rPr>
        <w:t>对土壤污染重点监管单位有毒有害物质排放报告、污染隐患排查、用地土壤（地下水）自行监测等法定义务落实情况的监督管理。</w:t>
      </w:r>
    </w:p>
    <w:p>
      <w:pPr>
        <w:pStyle w:val="43"/>
        <w:numPr>
          <w:ilvl w:val="0"/>
          <w:numId w:val="0"/>
        </w:numPr>
        <w:ind w:leftChars="0" w:firstLine="420" w:firstLineChars="200"/>
        <w:rPr>
          <w:rFonts w:hint="eastAsia"/>
          <w:lang w:val="en-US" w:eastAsia="zh-CN"/>
        </w:rPr>
      </w:pPr>
      <w:r>
        <w:rPr>
          <w:rFonts w:hint="eastAsia"/>
          <w:lang w:val="en-US" w:eastAsia="zh-CN"/>
        </w:rPr>
        <w:t>对</w:t>
      </w:r>
      <w:r>
        <w:rPr>
          <w:rFonts w:hint="eastAsia"/>
        </w:rPr>
        <w:t>土壤污染重点监管单位</w:t>
      </w:r>
      <w:r>
        <w:rPr>
          <w:rFonts w:hint="eastAsia"/>
          <w:lang w:val="en-US" w:eastAsia="zh-CN"/>
        </w:rPr>
        <w:t>拆除设施、设备或者建筑物、构筑物的，土壤污染防治工作方案制定、备案及实施情况的监督管理。</w:t>
      </w:r>
    </w:p>
    <w:p>
      <w:pPr>
        <w:pStyle w:val="43"/>
        <w:numPr>
          <w:ilvl w:val="0"/>
          <w:numId w:val="0"/>
        </w:numPr>
        <w:ind w:leftChars="0" w:firstLine="420" w:firstLineChars="200"/>
        <w:rPr>
          <w:rFonts w:hint="default"/>
          <w:lang w:val="en-US" w:eastAsia="zh-CN"/>
        </w:rPr>
      </w:pPr>
      <w:r>
        <w:rPr>
          <w:rFonts w:hint="eastAsia"/>
          <w:lang w:val="en-US" w:eastAsia="zh-CN"/>
        </w:rPr>
        <w:t>对土壤污染重点监管单位生产经营用地用途变更或者土地使用权收回、转让的，开展土壤污染状况调查及调查报告备案情况的监督管理</w:t>
      </w:r>
    </w:p>
    <w:p>
      <w:pPr>
        <w:pStyle w:val="43"/>
        <w:numPr>
          <w:ilvl w:val="2"/>
          <w:numId w:val="0"/>
        </w:numPr>
        <w:ind w:leftChars="0"/>
        <w:rPr>
          <w:rFonts w:hint="eastAsia"/>
        </w:rPr>
      </w:pPr>
      <w:r>
        <w:rPr>
          <w:rFonts w:hint="eastAsia"/>
          <w:lang w:val="en-US" w:eastAsia="zh-CN"/>
        </w:rPr>
        <w:t xml:space="preserve">8.2.2 </w:t>
      </w:r>
      <w:r>
        <w:rPr>
          <w:rFonts w:hint="eastAsia"/>
        </w:rPr>
        <w:t>建设用地准入管理</w:t>
      </w:r>
    </w:p>
    <w:p>
      <w:pPr>
        <w:pStyle w:val="43"/>
        <w:numPr>
          <w:ilvl w:val="0"/>
          <w:numId w:val="0"/>
        </w:numPr>
        <w:ind w:firstLine="420" w:firstLineChars="200"/>
        <w:rPr>
          <w:rFonts w:hint="eastAsia"/>
        </w:rPr>
      </w:pPr>
      <w:r>
        <w:rPr>
          <w:rFonts w:hint="eastAsia"/>
        </w:rPr>
        <w:t>对本行政区内污染地块等建设用地按要求组织开展排查的情况；对土地使用权人按照规定开展土壤污染状况调查等工作的监督管理情况；对建设用地土壤污染风险管控和修复名录中地块的风险管控措施落实情况。</w:t>
      </w:r>
    </w:p>
    <w:p>
      <w:pPr>
        <w:pStyle w:val="43"/>
        <w:numPr>
          <w:ilvl w:val="2"/>
          <w:numId w:val="0"/>
        </w:numPr>
        <w:ind w:leftChars="0"/>
        <w:rPr>
          <w:rFonts w:hint="default" w:ascii="宋体" w:hAnsi="Times New Roman" w:eastAsia="宋体" w:cs="Times New Roman"/>
          <w:lang w:val="en-US" w:eastAsia="zh-CN"/>
        </w:rPr>
      </w:pPr>
      <w:r>
        <w:rPr>
          <w:rFonts w:hint="eastAsia" w:cs="Times New Roman"/>
          <w:lang w:val="en-US" w:eastAsia="zh-CN"/>
        </w:rPr>
        <w:t xml:space="preserve">8.2.3 </w:t>
      </w:r>
      <w:r>
        <w:rPr>
          <w:rFonts w:hint="eastAsia" w:ascii="宋体" w:hAnsi="Times New Roman" w:eastAsia="宋体" w:cs="Times New Roman"/>
          <w:lang w:val="en-US" w:eastAsia="zh-CN"/>
        </w:rPr>
        <w:t>建设用地地块监测</w:t>
      </w:r>
    </w:p>
    <w:p>
      <w:pPr>
        <w:pStyle w:val="43"/>
        <w:numPr>
          <w:ilvl w:val="0"/>
          <w:numId w:val="0"/>
        </w:numPr>
        <w:ind w:leftChars="0" w:firstLine="420" w:firstLineChars="200"/>
        <w:rPr>
          <w:rFonts w:hint="default" w:ascii="宋体" w:hAnsi="Times New Roman" w:eastAsia="宋体" w:cs="Times New Roman"/>
          <w:lang w:val="en-US" w:eastAsia="zh-CN"/>
        </w:rPr>
      </w:pPr>
      <w:r>
        <w:rPr>
          <w:rFonts w:hint="eastAsia" w:ascii="宋体" w:hAnsi="Times New Roman" w:eastAsia="宋体" w:cs="Times New Roman"/>
          <w:lang w:val="en-US" w:eastAsia="zh-CN"/>
        </w:rPr>
        <w:t>对曾用于生产、使用、贮存、回收、处置有毒有害物质地块，曾用于固体废物堆放、填埋地块，曾发生过重大、特大污染事故地块，国务院生态环境、自然资源主管部门规定的其他情形等地块的重点监测工作开展情况。</w:t>
      </w:r>
    </w:p>
    <w:p>
      <w:pPr>
        <w:pStyle w:val="43"/>
        <w:numPr>
          <w:ilvl w:val="2"/>
          <w:numId w:val="0"/>
        </w:numPr>
        <w:ind w:leftChars="0"/>
        <w:rPr>
          <w:rFonts w:hint="eastAsia"/>
        </w:rPr>
      </w:pPr>
      <w:r>
        <w:rPr>
          <w:rFonts w:hint="eastAsia"/>
          <w:lang w:val="en-US" w:eastAsia="zh-CN"/>
        </w:rPr>
        <w:t xml:space="preserve">8.2.4 </w:t>
      </w:r>
      <w:r>
        <w:rPr>
          <w:rFonts w:hint="eastAsia"/>
        </w:rPr>
        <w:t>其他</w:t>
      </w:r>
    </w:p>
    <w:p>
      <w:pPr>
        <w:pStyle w:val="43"/>
        <w:numPr>
          <w:ilvl w:val="0"/>
          <w:numId w:val="0"/>
        </w:numPr>
        <w:ind w:firstLine="420" w:firstLineChars="200"/>
        <w:rPr>
          <w:rFonts w:hint="eastAsia"/>
        </w:rPr>
      </w:pPr>
      <w:r>
        <w:rPr>
          <w:rFonts w:hint="eastAsia"/>
          <w:lang w:val="en-US" w:eastAsia="zh-CN"/>
        </w:rPr>
        <w:t>对</w:t>
      </w:r>
      <w:r>
        <w:rPr>
          <w:rFonts w:hint="eastAsia"/>
        </w:rPr>
        <w:t>拆除设施、设备或者建筑物、构筑物的企业事业单位，</w:t>
      </w:r>
      <w:r>
        <w:rPr>
          <w:rFonts w:hint="eastAsia"/>
          <w:lang w:val="en-US" w:eastAsia="zh-CN"/>
        </w:rPr>
        <w:t>采取</w:t>
      </w:r>
      <w:r>
        <w:rPr>
          <w:rFonts w:hint="eastAsia"/>
        </w:rPr>
        <w:t>土壤污染防治措施</w:t>
      </w:r>
      <w:r>
        <w:rPr>
          <w:rFonts w:hint="eastAsia"/>
          <w:lang w:val="en-US" w:eastAsia="zh-CN"/>
        </w:rPr>
        <w:t>有效性的监督管理情况；</w:t>
      </w:r>
      <w:r>
        <w:rPr>
          <w:rFonts w:hint="eastAsia"/>
        </w:rPr>
        <w:t>对</w:t>
      </w:r>
      <w:r>
        <w:rPr>
          <w:rFonts w:hint="eastAsia"/>
          <w:highlight w:val="none"/>
        </w:rPr>
        <w:t>可能造成土壤污染</w:t>
      </w:r>
      <w:r>
        <w:rPr>
          <w:rFonts w:hint="eastAsia"/>
        </w:rPr>
        <w:t>的新（改、扩）建设项目审批、建设的监督管理情况</w:t>
      </w:r>
      <w:r>
        <w:rPr>
          <w:rFonts w:hint="eastAsia"/>
          <w:lang w:eastAsia="zh-CN"/>
        </w:rPr>
        <w:t>；</w:t>
      </w:r>
      <w:r>
        <w:rPr>
          <w:rFonts w:hint="eastAsia"/>
        </w:rPr>
        <w:t>对城镇人口密集区危险化学品生产搬迁改造企业落实土壤环境管理要求的监督管理情况；土壤环境污染</w:t>
      </w:r>
      <w:r>
        <w:rPr>
          <w:rFonts w:hint="eastAsia"/>
          <w:lang w:val="en-US" w:eastAsia="zh-CN"/>
        </w:rPr>
        <w:t>防治</w:t>
      </w:r>
      <w:r>
        <w:rPr>
          <w:rFonts w:hint="eastAsia"/>
        </w:rPr>
        <w:t>项目进展及成效和资金预算执行及管理情况。</w:t>
      </w:r>
    </w:p>
    <w:p>
      <w:pPr>
        <w:pStyle w:val="42"/>
        <w:numPr>
          <w:ilvl w:val="1"/>
          <w:numId w:val="0"/>
        </w:numPr>
        <w:ind w:leftChars="0"/>
        <w:outlineLvl w:val="1"/>
        <w:rPr>
          <w:rFonts w:hint="eastAsia"/>
        </w:rPr>
      </w:pPr>
      <w:r>
        <w:rPr>
          <w:rFonts w:hint="eastAsia"/>
          <w:lang w:val="en-US" w:eastAsia="zh-CN"/>
        </w:rPr>
        <w:t xml:space="preserve">8.3 </w:t>
      </w:r>
      <w:r>
        <w:rPr>
          <w:rFonts w:hint="eastAsia"/>
        </w:rPr>
        <w:t>农用地土壤环境管理</w:t>
      </w:r>
    </w:p>
    <w:p>
      <w:pPr>
        <w:pStyle w:val="43"/>
        <w:numPr>
          <w:ilvl w:val="2"/>
          <w:numId w:val="0"/>
        </w:numPr>
        <w:ind w:leftChars="0"/>
        <w:rPr>
          <w:rFonts w:hint="eastAsia"/>
        </w:rPr>
      </w:pPr>
      <w:r>
        <w:rPr>
          <w:rFonts w:hint="eastAsia"/>
          <w:lang w:val="en-US" w:eastAsia="zh-CN"/>
        </w:rPr>
        <w:t xml:space="preserve">8.3.1 </w:t>
      </w:r>
      <w:r>
        <w:rPr>
          <w:rFonts w:hint="eastAsia"/>
        </w:rPr>
        <w:t>农用地土壤分类管理</w:t>
      </w:r>
    </w:p>
    <w:p>
      <w:pPr>
        <w:pStyle w:val="43"/>
        <w:numPr>
          <w:ilvl w:val="0"/>
          <w:numId w:val="0"/>
        </w:numPr>
        <w:ind w:firstLine="420" w:firstLineChars="200"/>
        <w:rPr>
          <w:rFonts w:hint="eastAsia"/>
        </w:rPr>
      </w:pPr>
      <w:r>
        <w:rPr>
          <w:rFonts w:hint="eastAsia"/>
        </w:rPr>
        <w:t>优先保护类耕地严格保护措施落实情况；安全利用类农用地地块制定并实施安全利用方案情况；严格管控类农用地地块风险管控措施落实情况；对未利用地、复垦土地开垦为耕地的土壤污染状况调查及分类管理工作开展情况。</w:t>
      </w:r>
    </w:p>
    <w:p>
      <w:pPr>
        <w:pStyle w:val="43"/>
        <w:numPr>
          <w:ilvl w:val="2"/>
          <w:numId w:val="0"/>
        </w:numPr>
        <w:ind w:leftChars="0"/>
        <w:rPr>
          <w:rFonts w:hint="default" w:ascii="宋体" w:hAnsi="Times New Roman" w:eastAsia="宋体" w:cs="Times New Roman"/>
          <w:lang w:val="en-US" w:eastAsia="zh-CN"/>
        </w:rPr>
      </w:pPr>
      <w:r>
        <w:rPr>
          <w:rFonts w:hint="eastAsia" w:cs="Times New Roman"/>
          <w:lang w:val="en-US" w:eastAsia="zh-CN"/>
        </w:rPr>
        <w:t xml:space="preserve">8.3.2 </w:t>
      </w:r>
      <w:r>
        <w:rPr>
          <w:rFonts w:hint="eastAsia" w:ascii="宋体" w:hAnsi="Times New Roman" w:eastAsia="宋体" w:cs="Times New Roman"/>
          <w:lang w:val="en-US" w:eastAsia="zh-CN"/>
        </w:rPr>
        <w:t>农用地地块监测</w:t>
      </w:r>
    </w:p>
    <w:p>
      <w:pPr>
        <w:pStyle w:val="43"/>
        <w:numPr>
          <w:ilvl w:val="0"/>
          <w:numId w:val="0"/>
        </w:numPr>
        <w:ind w:leftChars="0" w:firstLine="420" w:firstLineChars="200"/>
        <w:rPr>
          <w:rFonts w:hint="default" w:ascii="宋体" w:hAnsi="Times New Roman" w:eastAsia="宋体" w:cs="Times New Roman"/>
          <w:lang w:val="en-US" w:eastAsia="zh-CN"/>
        </w:rPr>
      </w:pPr>
      <w:r>
        <w:rPr>
          <w:rFonts w:hint="eastAsia" w:ascii="宋体" w:hAnsi="Times New Roman" w:eastAsia="宋体" w:cs="Times New Roman"/>
          <w:lang w:val="en-US" w:eastAsia="zh-CN"/>
        </w:rPr>
        <w:t>对</w:t>
      </w:r>
      <w:r>
        <w:rPr>
          <w:rFonts w:hint="default" w:ascii="宋体" w:hAnsi="Times New Roman" w:eastAsia="宋体" w:cs="Times New Roman"/>
          <w:lang w:val="en-US" w:eastAsia="zh-CN"/>
        </w:rPr>
        <w:t>产出农产品污染物含量超标</w:t>
      </w:r>
      <w:r>
        <w:rPr>
          <w:rFonts w:hint="eastAsia" w:ascii="宋体" w:hAnsi="Times New Roman" w:eastAsia="宋体" w:cs="Times New Roman"/>
          <w:lang w:val="en-US" w:eastAsia="zh-CN"/>
        </w:rPr>
        <w:t>地块，</w:t>
      </w:r>
      <w:r>
        <w:rPr>
          <w:rFonts w:hint="default" w:ascii="宋体" w:hAnsi="Times New Roman" w:eastAsia="宋体" w:cs="Times New Roman"/>
          <w:lang w:val="en-US" w:eastAsia="zh-CN"/>
        </w:rPr>
        <w:t>作为或者曾作为污水灌溉区</w:t>
      </w:r>
      <w:r>
        <w:rPr>
          <w:rFonts w:hint="eastAsia" w:ascii="宋体" w:hAnsi="Times New Roman" w:eastAsia="宋体" w:cs="Times New Roman"/>
          <w:lang w:val="en-US" w:eastAsia="zh-CN"/>
        </w:rPr>
        <w:t>地块，</w:t>
      </w:r>
      <w:r>
        <w:rPr>
          <w:rFonts w:hint="default" w:ascii="宋体" w:hAnsi="Times New Roman" w:eastAsia="宋体" w:cs="Times New Roman"/>
          <w:lang w:val="en-US" w:eastAsia="zh-CN"/>
        </w:rPr>
        <w:t>用于或者曾用于规模化养殖，固体废物堆放、填埋</w:t>
      </w:r>
      <w:r>
        <w:rPr>
          <w:rFonts w:hint="eastAsia" w:ascii="宋体" w:hAnsi="Times New Roman" w:eastAsia="宋体" w:cs="Times New Roman"/>
          <w:lang w:val="en-US" w:eastAsia="zh-CN"/>
        </w:rPr>
        <w:t>地块，</w:t>
      </w:r>
      <w:r>
        <w:rPr>
          <w:rFonts w:hint="default" w:ascii="宋体" w:hAnsi="Times New Roman" w:eastAsia="宋体" w:cs="Times New Roman"/>
          <w:lang w:val="en-US" w:eastAsia="zh-CN"/>
        </w:rPr>
        <w:t>曾作为工矿用地或者发生过重大、特大污染事故</w:t>
      </w:r>
      <w:r>
        <w:rPr>
          <w:rFonts w:hint="eastAsia" w:ascii="宋体" w:hAnsi="Times New Roman" w:eastAsia="宋体" w:cs="Times New Roman"/>
          <w:lang w:val="en-US" w:eastAsia="zh-CN"/>
        </w:rPr>
        <w:t>地块，</w:t>
      </w:r>
      <w:r>
        <w:rPr>
          <w:rFonts w:hint="default" w:ascii="宋体" w:hAnsi="Times New Roman" w:eastAsia="宋体" w:cs="Times New Roman"/>
          <w:lang w:val="en-US" w:eastAsia="zh-CN"/>
        </w:rPr>
        <w:t>有毒有害物质生产、贮存、利用、处置设施周边</w:t>
      </w:r>
      <w:r>
        <w:rPr>
          <w:rFonts w:hint="eastAsia" w:ascii="宋体" w:hAnsi="Times New Roman" w:eastAsia="宋体" w:cs="Times New Roman"/>
          <w:lang w:val="en-US" w:eastAsia="zh-CN"/>
        </w:rPr>
        <w:t>地块，</w:t>
      </w:r>
      <w:r>
        <w:rPr>
          <w:rFonts w:hint="default" w:ascii="宋体" w:hAnsi="Times New Roman" w:eastAsia="宋体" w:cs="Times New Roman"/>
          <w:lang w:val="en-US" w:eastAsia="zh-CN"/>
        </w:rPr>
        <w:t>国务院农业农村、林业草原、生态环境、自然资源主管部门规定的其他情形</w:t>
      </w:r>
      <w:r>
        <w:rPr>
          <w:rFonts w:hint="eastAsia" w:ascii="宋体" w:hAnsi="Times New Roman" w:eastAsia="宋体" w:cs="Times New Roman"/>
          <w:lang w:val="en-US" w:eastAsia="zh-CN"/>
        </w:rPr>
        <w:t>等地块的重点监测工作开展情况</w:t>
      </w:r>
      <w:r>
        <w:rPr>
          <w:rFonts w:hint="default" w:ascii="宋体" w:hAnsi="Times New Roman" w:eastAsia="宋体" w:cs="Times New Roman"/>
          <w:lang w:val="en-US" w:eastAsia="zh-CN"/>
        </w:rPr>
        <w:t>。</w:t>
      </w:r>
    </w:p>
    <w:p>
      <w:pPr>
        <w:pStyle w:val="43"/>
        <w:numPr>
          <w:ilvl w:val="2"/>
          <w:numId w:val="0"/>
        </w:numPr>
        <w:ind w:leftChars="0"/>
        <w:rPr>
          <w:rFonts w:hint="eastAsia"/>
        </w:rPr>
      </w:pPr>
      <w:r>
        <w:rPr>
          <w:rFonts w:hint="eastAsia"/>
          <w:lang w:val="en-US" w:eastAsia="zh-CN"/>
        </w:rPr>
        <w:t xml:space="preserve">8.3.3 </w:t>
      </w:r>
      <w:r>
        <w:rPr>
          <w:rFonts w:hint="eastAsia"/>
        </w:rPr>
        <w:t>其他</w:t>
      </w:r>
    </w:p>
    <w:p>
      <w:pPr>
        <w:pStyle w:val="43"/>
        <w:numPr>
          <w:ilvl w:val="0"/>
          <w:numId w:val="0"/>
        </w:numPr>
        <w:ind w:firstLine="420" w:firstLineChars="200"/>
        <w:rPr>
          <w:rFonts w:hint="default" w:eastAsia="宋体"/>
          <w:lang w:val="en-US" w:eastAsia="zh-CN"/>
        </w:rPr>
      </w:pPr>
      <w:r>
        <w:rPr>
          <w:rFonts w:hint="eastAsia"/>
        </w:rPr>
        <w:t>耕地土壤环境质量类别动态调整工作开展情况</w:t>
      </w:r>
      <w:r>
        <w:rPr>
          <w:rFonts w:hint="eastAsia"/>
          <w:lang w:eastAsia="zh-CN"/>
        </w:rPr>
        <w:t>；对土壤污染状况普查、详查和监测、现场检查表明有土壤污染风险的农用地地块，土壤污染状况调查</w:t>
      </w:r>
      <w:r>
        <w:rPr>
          <w:rFonts w:hint="eastAsia"/>
          <w:lang w:val="en-US" w:eastAsia="zh-CN"/>
        </w:rPr>
        <w:t>工作开展情况；对安全利用类和严格管控类农用地地块的土壤污染影响或者可能影响地下水、饮用水水源安全的，污染防治方案制定及防治措施落实情况。</w:t>
      </w:r>
    </w:p>
    <w:p>
      <w:pPr>
        <w:pStyle w:val="42"/>
        <w:numPr>
          <w:ilvl w:val="1"/>
          <w:numId w:val="0"/>
        </w:numPr>
        <w:ind w:leftChars="0"/>
        <w:outlineLvl w:val="1"/>
        <w:rPr>
          <w:rFonts w:hint="eastAsia"/>
        </w:rPr>
      </w:pPr>
      <w:r>
        <w:rPr>
          <w:rFonts w:hint="eastAsia"/>
          <w:lang w:val="en-US" w:eastAsia="zh-CN"/>
        </w:rPr>
        <w:t xml:space="preserve">8.4 </w:t>
      </w:r>
      <w:r>
        <w:rPr>
          <w:rFonts w:hint="eastAsia"/>
        </w:rPr>
        <w:t>土壤污染源头预防</w:t>
      </w:r>
    </w:p>
    <w:p>
      <w:pPr>
        <w:pStyle w:val="43"/>
        <w:numPr>
          <w:ilvl w:val="2"/>
          <w:numId w:val="0"/>
        </w:numPr>
        <w:ind w:leftChars="0"/>
        <w:rPr>
          <w:rFonts w:hint="default" w:ascii="宋体" w:hAnsi="Times New Roman" w:eastAsia="宋体" w:cs="Times New Roman"/>
          <w:lang w:val="en-US" w:eastAsia="zh-CN"/>
        </w:rPr>
      </w:pPr>
      <w:r>
        <w:rPr>
          <w:rFonts w:hint="eastAsia" w:cs="Times New Roman"/>
          <w:lang w:val="en-US" w:eastAsia="zh-CN"/>
        </w:rPr>
        <w:t xml:space="preserve">8.4.1 </w:t>
      </w:r>
      <w:r>
        <w:rPr>
          <w:rFonts w:hint="eastAsia" w:ascii="宋体" w:hAnsi="Times New Roman" w:eastAsia="宋体" w:cs="Times New Roman"/>
          <w:lang w:val="en-US" w:eastAsia="zh-CN"/>
        </w:rPr>
        <w:t>重金属污染防控</w:t>
      </w:r>
    </w:p>
    <w:p>
      <w:pPr>
        <w:pStyle w:val="31"/>
        <w:rPr>
          <w:rFonts w:hint="eastAsia"/>
          <w:lang w:val="en-US" w:eastAsia="zh-CN"/>
        </w:rPr>
      </w:pPr>
      <w:r>
        <w:rPr>
          <w:rFonts w:hint="eastAsia"/>
        </w:rPr>
        <w:t>对涉重金属行业污染防控及矿产资源开发区域土壤污染防治的监督管理情况；</w:t>
      </w:r>
      <w:r>
        <w:rPr>
          <w:rFonts w:hint="eastAsia"/>
          <w:lang w:val="en-US" w:eastAsia="zh-CN"/>
        </w:rPr>
        <w:t>对尾矿库的安全管理及土壤污染防治措施的监督管理和定期评估情况；</w:t>
      </w:r>
    </w:p>
    <w:p>
      <w:pPr>
        <w:pStyle w:val="43"/>
        <w:numPr>
          <w:ilvl w:val="2"/>
          <w:numId w:val="0"/>
        </w:numPr>
        <w:ind w:leftChars="0"/>
        <w:rPr>
          <w:rFonts w:hint="eastAsia"/>
        </w:rPr>
      </w:pPr>
      <w:r>
        <w:rPr>
          <w:rFonts w:hint="eastAsia"/>
          <w:lang w:val="en-US" w:eastAsia="zh-CN"/>
        </w:rPr>
        <w:t>8.4.2 农业农村污染防治</w:t>
      </w:r>
    </w:p>
    <w:p>
      <w:pPr>
        <w:pStyle w:val="43"/>
        <w:numPr>
          <w:ilvl w:val="0"/>
          <w:numId w:val="0"/>
        </w:numPr>
        <w:ind w:leftChars="0" w:firstLine="420" w:firstLineChars="200"/>
        <w:rPr>
          <w:rFonts w:hint="eastAsia"/>
        </w:rPr>
      </w:pPr>
      <w:r>
        <w:rPr>
          <w:rFonts w:hint="eastAsia"/>
        </w:rPr>
        <w:t>对污水集中处理设施、固体废物处置设施周边土壤定期监测完成情况；化肥农药减量增效行动实施情况；废弃农膜回收和秸秆综合利用行动实施情况；农田灌溉用水水质管理和定期监测完成情况；对畜禽粪便、沼渣、沼液等收集、贮存、利用、处置的监督管理情况。</w:t>
      </w:r>
    </w:p>
    <w:p>
      <w:pPr>
        <w:pStyle w:val="43"/>
        <w:numPr>
          <w:ilvl w:val="2"/>
          <w:numId w:val="0"/>
        </w:numPr>
        <w:ind w:leftChars="0"/>
        <w:rPr>
          <w:rFonts w:hint="default" w:ascii="宋体" w:hAnsi="Times New Roman" w:eastAsia="宋体" w:cs="Times New Roman"/>
          <w:lang w:val="en-US" w:eastAsia="zh-CN"/>
        </w:rPr>
      </w:pPr>
      <w:r>
        <w:rPr>
          <w:rFonts w:hint="eastAsia" w:cs="Times New Roman"/>
          <w:lang w:val="en-US" w:eastAsia="zh-CN"/>
        </w:rPr>
        <w:t xml:space="preserve">8.4.3 </w:t>
      </w:r>
      <w:r>
        <w:rPr>
          <w:rFonts w:hint="eastAsia" w:ascii="宋体" w:hAnsi="Times New Roman" w:eastAsia="宋体" w:cs="Times New Roman"/>
          <w:lang w:val="en-US" w:eastAsia="zh-CN"/>
        </w:rPr>
        <w:t>其他</w:t>
      </w:r>
    </w:p>
    <w:p>
      <w:pPr>
        <w:pStyle w:val="43"/>
        <w:numPr>
          <w:ilvl w:val="0"/>
          <w:numId w:val="0"/>
        </w:numPr>
        <w:ind w:leftChars="0" w:firstLine="420" w:firstLineChars="200"/>
        <w:rPr>
          <w:rFonts w:hint="default" w:ascii="宋体" w:hAnsi="Times New Roman" w:eastAsia="宋体" w:cs="Times New Roman"/>
          <w:lang w:val="en-US" w:eastAsia="zh-CN"/>
        </w:rPr>
      </w:pPr>
      <w:r>
        <w:rPr>
          <w:rFonts w:hint="default" w:ascii="宋体" w:hAnsi="Times New Roman" w:eastAsia="宋体" w:cs="Times New Roman"/>
          <w:lang w:val="en-US" w:eastAsia="zh-CN"/>
        </w:rPr>
        <w:t>未污染的耕地、林地、草地和饮用水水源地</w:t>
      </w:r>
      <w:r>
        <w:rPr>
          <w:rFonts w:hint="eastAsia" w:ascii="宋体" w:hAnsi="Times New Roman" w:eastAsia="宋体" w:cs="Times New Roman"/>
          <w:lang w:val="en-US" w:eastAsia="zh-CN"/>
        </w:rPr>
        <w:t>，国家公园等自然保护地，以及未利用地的保护措施落实情况。</w:t>
      </w:r>
    </w:p>
    <w:p>
      <w:pPr>
        <w:pStyle w:val="42"/>
        <w:numPr>
          <w:ilvl w:val="1"/>
          <w:numId w:val="0"/>
        </w:numPr>
        <w:ind w:leftChars="0"/>
        <w:outlineLvl w:val="1"/>
        <w:rPr>
          <w:rFonts w:hint="eastAsia"/>
        </w:rPr>
      </w:pPr>
      <w:r>
        <w:rPr>
          <w:rFonts w:hint="eastAsia"/>
          <w:lang w:val="en-US" w:eastAsia="zh-CN"/>
        </w:rPr>
        <w:t xml:space="preserve">8.5 </w:t>
      </w:r>
      <w:r>
        <w:rPr>
          <w:rFonts w:hint="eastAsia"/>
        </w:rPr>
        <w:t>其他</w:t>
      </w:r>
    </w:p>
    <w:p>
      <w:pPr>
        <w:pStyle w:val="47"/>
        <w:numPr>
          <w:ilvl w:val="0"/>
          <w:numId w:val="0"/>
        </w:numPr>
        <w:ind w:firstLine="420" w:firstLineChars="200"/>
        <w:rPr>
          <w:rFonts w:hint="eastAsia" w:ascii="Times New Roman"/>
        </w:rPr>
      </w:pPr>
      <w:r>
        <w:rPr>
          <w:rFonts w:hint="eastAsia" w:ascii="Times New Roman"/>
        </w:rPr>
        <w:t>土壤污染防治相关能力建设</w:t>
      </w:r>
      <w:r>
        <w:rPr>
          <w:rFonts w:hint="eastAsia" w:ascii="Times New Roman"/>
          <w:lang w:val="en-US" w:eastAsia="zh-CN"/>
        </w:rPr>
        <w:t>情况；</w:t>
      </w:r>
      <w:r>
        <w:rPr>
          <w:rFonts w:hint="eastAsia" w:ascii="Times New Roman"/>
        </w:rPr>
        <w:t>土壤污染防治信息共享机制和工作协调机制建立情况；土壤</w:t>
      </w:r>
      <w:r>
        <w:rPr>
          <w:rFonts w:hint="eastAsia" w:ascii="Times New Roman"/>
          <w:lang w:val="en-US" w:eastAsia="zh-CN"/>
        </w:rPr>
        <w:t>污染防治</w:t>
      </w:r>
      <w:r>
        <w:rPr>
          <w:rFonts w:hint="eastAsia" w:ascii="Times New Roman"/>
        </w:rPr>
        <w:t>宣传教育</w:t>
      </w:r>
      <w:r>
        <w:rPr>
          <w:rFonts w:hint="eastAsia" w:ascii="Times New Roman"/>
          <w:lang w:val="en-US" w:eastAsia="zh-CN"/>
        </w:rPr>
        <w:t>和科学普及</w:t>
      </w:r>
      <w:r>
        <w:rPr>
          <w:rFonts w:hint="eastAsia" w:ascii="Times New Roman"/>
        </w:rPr>
        <w:t>工作开展情况。</w:t>
      </w:r>
    </w:p>
    <w:p>
      <w:pPr>
        <w:pStyle w:val="41"/>
        <w:numPr>
          <w:ilvl w:val="0"/>
          <w:numId w:val="0"/>
        </w:numPr>
        <w:ind w:leftChars="0"/>
        <w:rPr>
          <w:rFonts w:hint="eastAsia"/>
        </w:rPr>
      </w:pPr>
      <w:r>
        <w:rPr>
          <w:rFonts w:hint="eastAsia"/>
          <w:lang w:val="en-US" w:eastAsia="zh-CN"/>
        </w:rPr>
        <w:t xml:space="preserve">9  </w:t>
      </w:r>
      <w:r>
        <w:rPr>
          <w:rFonts w:hint="eastAsia"/>
        </w:rPr>
        <w:t>编制评估报告</w:t>
      </w:r>
    </w:p>
    <w:p>
      <w:pPr>
        <w:pStyle w:val="47"/>
        <w:numPr>
          <w:ilvl w:val="1"/>
          <w:numId w:val="0"/>
        </w:numPr>
        <w:ind w:leftChars="0"/>
        <w:rPr>
          <w:rFonts w:ascii="Times New Roman"/>
        </w:rPr>
      </w:pPr>
      <w:r>
        <w:rPr>
          <w:rFonts w:hint="eastAsia"/>
          <w:lang w:val="en-US" w:eastAsia="zh-CN"/>
        </w:rPr>
        <w:t xml:space="preserve">9.1 </w:t>
      </w:r>
      <w:r>
        <w:rPr>
          <w:rFonts w:hint="eastAsia"/>
        </w:rPr>
        <w:t>土壤污染防治成效综合评估工作完成后，需编写报告，并按照土壤污染防治成效综合评估指标与评分方法（</w:t>
      </w:r>
      <w:r>
        <w:rPr>
          <w:rFonts w:hint="eastAsia" w:ascii="Times New Roman"/>
        </w:rPr>
        <w:t>附录C</w:t>
      </w:r>
      <w:r>
        <w:rPr>
          <w:rFonts w:hint="eastAsia"/>
        </w:rPr>
        <w:t>）进行</w:t>
      </w:r>
      <w:r>
        <w:rPr>
          <w:rFonts w:hint="eastAsia"/>
          <w:lang w:val="en-US" w:eastAsia="zh-CN"/>
        </w:rPr>
        <w:t>评</w:t>
      </w:r>
      <w:r>
        <w:rPr>
          <w:rFonts w:hint="eastAsia"/>
        </w:rPr>
        <w:t>分。报告</w:t>
      </w:r>
      <w:r>
        <w:rPr>
          <w:rFonts w:hint="eastAsia"/>
          <w:lang w:val="en-US" w:eastAsia="zh-CN"/>
        </w:rPr>
        <w:t>内容</w:t>
      </w:r>
      <w:r>
        <w:rPr>
          <w:rFonts w:hint="eastAsia"/>
          <w:lang w:eastAsia="zh-CN"/>
        </w:rPr>
        <w:t>应</w:t>
      </w:r>
      <w:r>
        <w:rPr>
          <w:rFonts w:hint="eastAsia"/>
        </w:rPr>
        <w:t>包括</w:t>
      </w:r>
      <w:r>
        <w:rPr>
          <w:rFonts w:hint="eastAsia"/>
          <w:lang w:eastAsia="zh-CN"/>
        </w:rPr>
        <w:t>：</w:t>
      </w:r>
      <w:r>
        <w:rPr>
          <w:rFonts w:hint="eastAsia" w:ascii="Times New Roman" w:hAnsi="Times New Roman" w:cs="Times New Roman"/>
          <w:lang w:val="en-US" w:eastAsia="zh-CN"/>
        </w:rPr>
        <w:t>土壤污染防治政策制度、建设用地土壤环境管理、农用地土壤环境管理、土壤污染源头预防和其他等方面，</w:t>
      </w:r>
      <w:r>
        <w:rPr>
          <w:rFonts w:hint="eastAsia"/>
        </w:rPr>
        <w:t>以及评估结论和工作建议等内容。</w:t>
      </w:r>
    </w:p>
    <w:p>
      <w:pPr>
        <w:pStyle w:val="47"/>
        <w:numPr>
          <w:ilvl w:val="1"/>
          <w:numId w:val="0"/>
        </w:numPr>
        <w:ind w:leftChars="0"/>
        <w:rPr>
          <w:rFonts w:ascii="Times New Roman"/>
        </w:rPr>
      </w:pPr>
      <w:r>
        <w:rPr>
          <w:rFonts w:hint="eastAsia" w:ascii="Times New Roman"/>
          <w:lang w:val="en-US" w:eastAsia="zh-CN"/>
        </w:rPr>
        <w:t xml:space="preserve">9.2  </w:t>
      </w:r>
      <w:r>
        <w:rPr>
          <w:rFonts w:hint="eastAsia" w:ascii="Times New Roman"/>
        </w:rPr>
        <w:t>报告编写提纲参见附录B。</w:t>
      </w:r>
    </w:p>
    <w:p>
      <w:pPr>
        <w:pStyle w:val="41"/>
        <w:numPr>
          <w:ilvl w:val="0"/>
          <w:numId w:val="0"/>
        </w:numPr>
        <w:ind w:leftChars="0"/>
        <w:rPr>
          <w:rFonts w:hint="eastAsia"/>
        </w:rPr>
      </w:pPr>
      <w:r>
        <w:rPr>
          <w:rFonts w:hint="eastAsia"/>
          <w:lang w:val="en-US" w:eastAsia="zh-CN"/>
        </w:rPr>
        <w:t xml:space="preserve">10  </w:t>
      </w:r>
      <w:r>
        <w:rPr>
          <w:rFonts w:hint="eastAsia"/>
        </w:rPr>
        <w:t>报告审核及提交</w:t>
      </w:r>
    </w:p>
    <w:p>
      <w:pPr>
        <w:pStyle w:val="31"/>
        <w:rPr>
          <w:szCs w:val="21"/>
        </w:rPr>
      </w:pPr>
      <w:r>
        <w:rPr>
          <w:rFonts w:hint="eastAsia"/>
          <w:szCs w:val="21"/>
        </w:rPr>
        <w:t>报告编写完成后，评估机构应首先完成内部质量审核，还可采取专家评审、座谈讨论、专家咨询等方式进行审核</w:t>
      </w:r>
      <w:r>
        <w:rPr>
          <w:rFonts w:hint="eastAsia"/>
          <w:szCs w:val="21"/>
          <w:lang w:eastAsia="zh-CN"/>
        </w:rPr>
        <w:t>，</w:t>
      </w:r>
      <w:r>
        <w:rPr>
          <w:rFonts w:hint="eastAsia"/>
          <w:szCs w:val="21"/>
        </w:rPr>
        <w:t>报告修改完成后提交任务委托单位。</w:t>
      </w:r>
    </w:p>
    <w:p>
      <w:pPr>
        <w:pStyle w:val="31"/>
        <w:rPr>
          <w:rFonts w:hint="eastAsia"/>
        </w:rPr>
      </w:pPr>
    </w:p>
    <w:p>
      <w:pPr>
        <w:pStyle w:val="3"/>
        <w:spacing w:before="0"/>
        <w:ind w:left="0" w:firstLine="0"/>
        <w:jc w:val="center"/>
        <w:rPr>
          <w:rFonts w:hint="eastAsia"/>
        </w:rPr>
      </w:pPr>
      <w:bookmarkStart w:id="17" w:name="_Toc19954"/>
    </w:p>
    <w:p>
      <w:pPr>
        <w:pStyle w:val="3"/>
        <w:spacing w:before="0"/>
        <w:ind w:left="0" w:firstLine="0"/>
        <w:jc w:val="cente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spacing w:before="0"/>
        <w:ind w:left="0" w:firstLine="0"/>
        <w:jc w:val="center"/>
        <w:rPr>
          <w:rFonts w:hint="eastAsia"/>
        </w:rPr>
      </w:pPr>
    </w:p>
    <w:p>
      <w:pPr>
        <w:pStyle w:val="3"/>
        <w:spacing w:before="0"/>
        <w:ind w:left="0" w:firstLine="0"/>
        <w:jc w:val="center"/>
        <w:rPr>
          <w:b w:val="0"/>
          <w:bCs w:val="0"/>
        </w:rPr>
      </w:pPr>
      <w:r>
        <w:rPr>
          <w:rFonts w:hint="eastAsia"/>
          <w:b w:val="0"/>
          <w:bCs w:val="0"/>
        </w:rPr>
        <w:t>附</w:t>
      </w:r>
      <w:r>
        <w:rPr>
          <w:rFonts w:hint="eastAsia"/>
          <w:b w:val="0"/>
          <w:bCs w:val="0"/>
        </w:rPr>
        <w:tab/>
      </w:r>
      <w:r>
        <w:rPr>
          <w:rFonts w:hint="eastAsia"/>
          <w:b w:val="0"/>
          <w:bCs w:val="0"/>
        </w:rPr>
        <w:t>录</w:t>
      </w:r>
      <w:r>
        <w:rPr>
          <w:rFonts w:hint="eastAsia"/>
          <w:b w:val="0"/>
          <w:bCs w:val="0"/>
        </w:rPr>
        <w:tab/>
      </w:r>
      <w:r>
        <w:rPr>
          <w:rFonts w:hint="eastAsia"/>
          <w:b w:val="0"/>
          <w:bCs w:val="0"/>
        </w:rPr>
        <w:t>A</w:t>
      </w:r>
      <w:bookmarkEnd w:id="17"/>
    </w:p>
    <w:p>
      <w:pPr>
        <w:pStyle w:val="3"/>
        <w:spacing w:before="0"/>
        <w:ind w:left="0" w:firstLine="0"/>
        <w:jc w:val="center"/>
        <w:rPr>
          <w:b w:val="0"/>
          <w:bCs w:val="0"/>
        </w:rPr>
      </w:pPr>
      <w:bookmarkStart w:id="18" w:name="_Toc4287"/>
      <w:bookmarkStart w:id="19" w:name="_Toc12367_WPSOffice_Level1"/>
      <w:r>
        <w:rPr>
          <w:rFonts w:hint="eastAsia"/>
          <w:b w:val="0"/>
          <w:bCs w:val="0"/>
        </w:rPr>
        <w:t>（资料性附录）</w:t>
      </w:r>
      <w:bookmarkEnd w:id="18"/>
      <w:bookmarkEnd w:id="19"/>
    </w:p>
    <w:p>
      <w:pPr>
        <w:pStyle w:val="3"/>
        <w:spacing w:before="0"/>
        <w:ind w:left="0" w:firstLine="0"/>
        <w:jc w:val="center"/>
        <w:rPr>
          <w:b w:val="0"/>
          <w:bCs w:val="0"/>
        </w:rPr>
      </w:pPr>
      <w:bookmarkStart w:id="20" w:name="_Toc18843_WPSOffice_Level2"/>
      <w:bookmarkStart w:id="21" w:name="_Toc20302"/>
      <w:r>
        <w:rPr>
          <w:rFonts w:hint="eastAsia"/>
          <w:b w:val="0"/>
          <w:bCs w:val="0"/>
        </w:rPr>
        <w:t>土壤污染防治成效综合评估工作方案编写提纲</w:t>
      </w:r>
      <w:bookmarkEnd w:id="20"/>
      <w:bookmarkEnd w:id="21"/>
    </w:p>
    <w:p>
      <w:pPr>
        <w:rPr>
          <w:sz w:val="28"/>
          <w:szCs w:val="28"/>
        </w:rPr>
      </w:pPr>
    </w:p>
    <w:p>
      <w:pPr>
        <w:autoSpaceDE w:val="0"/>
        <w:autoSpaceDN w:val="0"/>
        <w:jc w:val="left"/>
        <w:rPr>
          <w:rFonts w:hint="eastAsia" w:ascii="黑体" w:eastAsia="黑体"/>
          <w:kern w:val="0"/>
          <w:szCs w:val="20"/>
        </w:rPr>
      </w:pPr>
      <w:bookmarkStart w:id="22" w:name="_Toc32051_WPSOffice_Level2"/>
      <w:r>
        <w:rPr>
          <w:rFonts w:hint="eastAsia" w:ascii="黑体" w:eastAsia="黑体"/>
          <w:kern w:val="0"/>
          <w:szCs w:val="20"/>
        </w:rPr>
        <w:t>A.1 前  言</w:t>
      </w:r>
      <w:bookmarkEnd w:id="22"/>
    </w:p>
    <w:p>
      <w:pPr>
        <w:ind w:firstLine="440" w:firstLineChars="200"/>
        <w:jc w:val="left"/>
        <w:rPr>
          <w:rFonts w:hint="eastAsia" w:ascii="宋体" w:hAnsi="宋体" w:cs="宋体"/>
          <w:szCs w:val="21"/>
        </w:rPr>
      </w:pPr>
      <w:bookmarkStart w:id="23" w:name="_Toc1107_WPSOffice_Level1"/>
      <w:r>
        <w:rPr>
          <w:rFonts w:hint="eastAsia" w:ascii="宋体" w:hAnsi="宋体" w:cs="宋体"/>
          <w:szCs w:val="21"/>
        </w:rPr>
        <w:t>A.1.1 目的任务</w:t>
      </w:r>
      <w:bookmarkEnd w:id="23"/>
    </w:p>
    <w:p>
      <w:pPr>
        <w:autoSpaceDE w:val="0"/>
        <w:autoSpaceDN w:val="0"/>
        <w:ind w:firstLine="440" w:firstLineChars="200"/>
        <w:jc w:val="left"/>
        <w:rPr>
          <w:rFonts w:hint="eastAsia" w:ascii="宋体" w:hAnsi="宋体" w:cs="宋体"/>
          <w:szCs w:val="21"/>
        </w:rPr>
      </w:pPr>
      <w:bookmarkStart w:id="24" w:name="_Toc14515_WPSOffice_Level2"/>
      <w:r>
        <w:rPr>
          <w:rFonts w:hint="eastAsia" w:ascii="宋体" w:hAnsi="宋体" w:cs="宋体"/>
          <w:szCs w:val="21"/>
        </w:rPr>
        <w:t>A.1.2 评估</w:t>
      </w:r>
      <w:r>
        <w:rPr>
          <w:rFonts w:hint="eastAsia" w:ascii="宋体" w:hAnsi="宋体" w:cs="宋体"/>
          <w:szCs w:val="21"/>
          <w:lang w:val="en-US" w:eastAsia="zh-CN"/>
        </w:rPr>
        <w:t>县（市、区）</w:t>
      </w:r>
      <w:r>
        <w:rPr>
          <w:rFonts w:hint="eastAsia" w:ascii="宋体" w:hAnsi="宋体" w:cs="宋体"/>
          <w:szCs w:val="21"/>
        </w:rPr>
        <w:t>基本情况</w:t>
      </w:r>
      <w:bookmarkEnd w:id="24"/>
    </w:p>
    <w:p>
      <w:pPr>
        <w:autoSpaceDE w:val="0"/>
        <w:autoSpaceDN w:val="0"/>
        <w:ind w:firstLine="440" w:firstLineChars="200"/>
        <w:jc w:val="left"/>
        <w:rPr>
          <w:rFonts w:hint="eastAsia" w:ascii="宋体" w:hAnsi="宋体" w:cs="宋体"/>
          <w:szCs w:val="21"/>
        </w:rPr>
      </w:pPr>
      <w:bookmarkStart w:id="25" w:name="_Toc12367_WPSOffice_Level2"/>
      <w:r>
        <w:rPr>
          <w:rFonts w:hint="eastAsia" w:ascii="宋体" w:hAnsi="宋体" w:cs="宋体"/>
          <w:szCs w:val="21"/>
        </w:rPr>
        <w:t>A.1.3 土壤污染防治工作概况</w:t>
      </w:r>
      <w:bookmarkEnd w:id="25"/>
    </w:p>
    <w:p>
      <w:pPr>
        <w:autoSpaceDE w:val="0"/>
        <w:autoSpaceDN w:val="0"/>
        <w:jc w:val="left"/>
        <w:rPr>
          <w:rFonts w:hint="eastAsia" w:ascii="黑体" w:eastAsia="黑体"/>
          <w:kern w:val="0"/>
          <w:szCs w:val="20"/>
        </w:rPr>
      </w:pPr>
      <w:bookmarkStart w:id="26" w:name="_Toc1107_WPSOffice_Level2"/>
      <w:r>
        <w:rPr>
          <w:rFonts w:hint="eastAsia" w:ascii="黑体" w:eastAsia="黑体"/>
          <w:kern w:val="0"/>
          <w:szCs w:val="20"/>
        </w:rPr>
        <w:t>A.2 综合评估工作依据</w:t>
      </w:r>
      <w:bookmarkEnd w:id="26"/>
    </w:p>
    <w:p>
      <w:pPr>
        <w:autoSpaceDE w:val="0"/>
        <w:autoSpaceDN w:val="0"/>
        <w:jc w:val="left"/>
        <w:rPr>
          <w:rFonts w:hint="eastAsia" w:ascii="黑体" w:eastAsia="黑体"/>
          <w:kern w:val="0"/>
          <w:szCs w:val="20"/>
          <w:highlight w:val="none"/>
        </w:rPr>
      </w:pPr>
      <w:bookmarkStart w:id="27" w:name="_Toc27689_WPSOffice_Level2"/>
      <w:r>
        <w:rPr>
          <w:rFonts w:hint="eastAsia" w:ascii="黑体" w:eastAsia="黑体"/>
          <w:kern w:val="0"/>
          <w:szCs w:val="20"/>
          <w:highlight w:val="none"/>
        </w:rPr>
        <w:t>A.3 综合评估内容及评估要点</w:t>
      </w:r>
      <w:bookmarkEnd w:id="27"/>
    </w:p>
    <w:p>
      <w:pPr>
        <w:ind w:firstLine="440" w:firstLineChars="200"/>
        <w:jc w:val="left"/>
        <w:rPr>
          <w:rFonts w:hint="eastAsia" w:ascii="宋体" w:hAnsi="宋体" w:cs="宋体"/>
          <w:szCs w:val="21"/>
          <w:highlight w:val="none"/>
        </w:rPr>
      </w:pPr>
      <w:bookmarkStart w:id="28" w:name="_Toc2997_WPSOffice_Level2"/>
      <w:r>
        <w:rPr>
          <w:rFonts w:hint="eastAsia" w:ascii="宋体" w:hAnsi="宋体" w:cs="宋体"/>
          <w:szCs w:val="21"/>
          <w:highlight w:val="none"/>
        </w:rPr>
        <w:t>A.3.1 评估内容</w:t>
      </w:r>
      <w:bookmarkEnd w:id="28"/>
    </w:p>
    <w:p>
      <w:pPr>
        <w:autoSpaceDE w:val="0"/>
        <w:autoSpaceDN w:val="0"/>
        <w:ind w:firstLine="440" w:firstLineChars="200"/>
        <w:jc w:val="left"/>
        <w:rPr>
          <w:rFonts w:hint="eastAsia" w:ascii="宋体" w:hAnsi="宋体" w:cs="宋体"/>
          <w:szCs w:val="21"/>
          <w:highlight w:val="none"/>
        </w:rPr>
      </w:pPr>
      <w:bookmarkStart w:id="29" w:name="_Toc24536_WPSOffice_Level2"/>
      <w:r>
        <w:rPr>
          <w:rFonts w:hint="eastAsia" w:ascii="宋体" w:hAnsi="宋体" w:cs="宋体"/>
          <w:szCs w:val="21"/>
          <w:highlight w:val="none"/>
        </w:rPr>
        <w:t>A.3.2 评估要点</w:t>
      </w:r>
      <w:bookmarkEnd w:id="29"/>
    </w:p>
    <w:p>
      <w:pPr>
        <w:autoSpaceDE w:val="0"/>
        <w:autoSpaceDN w:val="0"/>
        <w:jc w:val="left"/>
        <w:rPr>
          <w:rFonts w:hint="eastAsia" w:ascii="黑体" w:eastAsia="黑体"/>
          <w:kern w:val="0"/>
          <w:szCs w:val="20"/>
        </w:rPr>
      </w:pPr>
      <w:bookmarkStart w:id="30" w:name="_Toc25416_WPSOffice_Level2"/>
      <w:r>
        <w:rPr>
          <w:rFonts w:hint="eastAsia" w:ascii="黑体" w:eastAsia="黑体"/>
          <w:kern w:val="0"/>
          <w:szCs w:val="20"/>
        </w:rPr>
        <w:t>A.4 技术路线及工作方案</w:t>
      </w:r>
      <w:bookmarkEnd w:id="30"/>
    </w:p>
    <w:p>
      <w:pPr>
        <w:autoSpaceDE w:val="0"/>
        <w:autoSpaceDN w:val="0"/>
        <w:ind w:firstLine="440" w:firstLineChars="200"/>
        <w:jc w:val="left"/>
        <w:rPr>
          <w:rFonts w:hint="eastAsia" w:ascii="宋体" w:hAnsi="宋体" w:cs="宋体"/>
          <w:szCs w:val="21"/>
        </w:rPr>
      </w:pPr>
      <w:bookmarkStart w:id="31" w:name="_Toc20707_WPSOffice_Level2"/>
      <w:r>
        <w:rPr>
          <w:rFonts w:hint="eastAsia" w:ascii="宋体" w:hAnsi="宋体" w:cs="宋体"/>
          <w:szCs w:val="21"/>
        </w:rPr>
        <w:t>A.4.1 技术路线</w:t>
      </w:r>
      <w:bookmarkEnd w:id="31"/>
    </w:p>
    <w:p>
      <w:pPr>
        <w:autoSpaceDE w:val="0"/>
        <w:autoSpaceDN w:val="0"/>
        <w:ind w:firstLine="440" w:firstLineChars="200"/>
        <w:jc w:val="left"/>
        <w:rPr>
          <w:rFonts w:hint="eastAsia" w:ascii="宋体" w:hAnsi="宋体" w:cs="宋体"/>
          <w:szCs w:val="21"/>
        </w:rPr>
      </w:pPr>
      <w:bookmarkStart w:id="32" w:name="_Toc31233_WPSOffice_Level2"/>
      <w:r>
        <w:rPr>
          <w:rFonts w:hint="eastAsia" w:ascii="宋体" w:hAnsi="宋体" w:cs="宋体"/>
          <w:szCs w:val="21"/>
        </w:rPr>
        <w:t>A.4.2 工作方案</w:t>
      </w:r>
      <w:bookmarkEnd w:id="32"/>
    </w:p>
    <w:p>
      <w:pPr>
        <w:autoSpaceDE w:val="0"/>
        <w:autoSpaceDN w:val="0"/>
        <w:jc w:val="left"/>
        <w:rPr>
          <w:rFonts w:hint="eastAsia" w:ascii="黑体" w:eastAsia="黑体"/>
          <w:kern w:val="0"/>
          <w:szCs w:val="20"/>
        </w:rPr>
      </w:pPr>
      <w:bookmarkStart w:id="33" w:name="_Toc23495_WPSOffice_Level2"/>
      <w:r>
        <w:rPr>
          <w:rFonts w:hint="eastAsia" w:ascii="黑体" w:eastAsia="黑体"/>
          <w:kern w:val="0"/>
          <w:szCs w:val="20"/>
        </w:rPr>
        <w:t>A.5 工作部署</w:t>
      </w:r>
      <w:bookmarkEnd w:id="33"/>
    </w:p>
    <w:p>
      <w:pPr>
        <w:autoSpaceDE w:val="0"/>
        <w:autoSpaceDN w:val="0"/>
        <w:ind w:firstLine="440" w:firstLineChars="200"/>
        <w:jc w:val="left"/>
        <w:rPr>
          <w:rFonts w:hint="eastAsia" w:ascii="宋体" w:hAnsi="宋体" w:cs="宋体"/>
          <w:szCs w:val="21"/>
        </w:rPr>
      </w:pPr>
      <w:bookmarkStart w:id="34" w:name="_Toc17987_WPSOffice_Level2"/>
      <w:r>
        <w:rPr>
          <w:rFonts w:hint="eastAsia" w:ascii="宋体" w:hAnsi="宋体" w:cs="宋体"/>
          <w:szCs w:val="21"/>
        </w:rPr>
        <w:t>A.5.1 工作部署原则</w:t>
      </w:r>
      <w:bookmarkEnd w:id="34"/>
    </w:p>
    <w:p>
      <w:pPr>
        <w:autoSpaceDE w:val="0"/>
        <w:autoSpaceDN w:val="0"/>
        <w:ind w:firstLine="440" w:firstLineChars="200"/>
        <w:jc w:val="left"/>
        <w:rPr>
          <w:rFonts w:hint="eastAsia" w:ascii="宋体" w:hAnsi="宋体" w:cs="宋体"/>
          <w:szCs w:val="21"/>
        </w:rPr>
      </w:pPr>
      <w:bookmarkStart w:id="35" w:name="_Toc8656_WPSOffice_Level2"/>
      <w:r>
        <w:rPr>
          <w:rFonts w:hint="eastAsia" w:ascii="宋体" w:hAnsi="宋体" w:cs="宋体"/>
          <w:szCs w:val="21"/>
        </w:rPr>
        <w:t>A.5.2 总体工作部署</w:t>
      </w:r>
      <w:bookmarkEnd w:id="35"/>
    </w:p>
    <w:p>
      <w:pPr>
        <w:autoSpaceDE w:val="0"/>
        <w:autoSpaceDN w:val="0"/>
        <w:jc w:val="left"/>
        <w:rPr>
          <w:rFonts w:hint="eastAsia" w:ascii="黑体" w:eastAsia="黑体"/>
          <w:kern w:val="0"/>
          <w:szCs w:val="20"/>
        </w:rPr>
      </w:pPr>
      <w:bookmarkStart w:id="36" w:name="_Toc18759_WPSOffice_Level2"/>
      <w:r>
        <w:rPr>
          <w:rFonts w:hint="eastAsia" w:ascii="黑体" w:eastAsia="黑体"/>
          <w:kern w:val="0"/>
          <w:szCs w:val="20"/>
        </w:rPr>
        <w:t>A.</w:t>
      </w:r>
      <w:r>
        <w:rPr>
          <w:rFonts w:hint="eastAsia" w:ascii="黑体" w:eastAsia="黑体"/>
          <w:kern w:val="0"/>
          <w:szCs w:val="20"/>
          <w:lang w:val="en-US" w:eastAsia="zh-CN"/>
        </w:rPr>
        <w:t>6</w:t>
      </w:r>
      <w:r>
        <w:rPr>
          <w:rFonts w:hint="eastAsia" w:ascii="黑体" w:eastAsia="黑体"/>
          <w:kern w:val="0"/>
          <w:szCs w:val="20"/>
        </w:rPr>
        <w:t xml:space="preserve"> 组织管理及人员安排</w:t>
      </w:r>
      <w:bookmarkEnd w:id="36"/>
    </w:p>
    <w:p>
      <w:pPr>
        <w:autoSpaceDE w:val="0"/>
        <w:autoSpaceDN w:val="0"/>
        <w:ind w:firstLine="440" w:firstLineChars="200"/>
        <w:jc w:val="left"/>
        <w:rPr>
          <w:rFonts w:hint="eastAsia" w:ascii="宋体" w:hAnsi="宋体" w:cs="宋体"/>
          <w:szCs w:val="21"/>
        </w:rPr>
      </w:pPr>
      <w:bookmarkStart w:id="37" w:name="_Toc16539_WPSOffice_Level2"/>
      <w:r>
        <w:rPr>
          <w:rFonts w:hint="eastAsia" w:ascii="宋体" w:hAnsi="宋体" w:cs="宋体"/>
          <w:szCs w:val="21"/>
        </w:rPr>
        <w:t>A.</w:t>
      </w:r>
      <w:r>
        <w:rPr>
          <w:rFonts w:hint="eastAsia" w:ascii="宋体" w:hAnsi="宋体" w:cs="宋体"/>
          <w:szCs w:val="21"/>
          <w:lang w:val="en-US" w:eastAsia="zh-CN"/>
        </w:rPr>
        <w:t>6</w:t>
      </w:r>
      <w:r>
        <w:rPr>
          <w:rFonts w:hint="eastAsia" w:ascii="宋体" w:hAnsi="宋体" w:cs="宋体"/>
          <w:szCs w:val="21"/>
        </w:rPr>
        <w:t>.1 组织管理</w:t>
      </w:r>
      <w:bookmarkEnd w:id="37"/>
    </w:p>
    <w:p>
      <w:pPr>
        <w:autoSpaceDE w:val="0"/>
        <w:autoSpaceDN w:val="0"/>
        <w:ind w:firstLine="440" w:firstLineChars="200"/>
        <w:jc w:val="left"/>
        <w:rPr>
          <w:rFonts w:hint="eastAsia" w:ascii="宋体" w:hAnsi="宋体" w:cs="宋体"/>
          <w:szCs w:val="21"/>
        </w:rPr>
      </w:pPr>
      <w:bookmarkStart w:id="38" w:name="_Toc16980_WPSOffice_Level2"/>
      <w:r>
        <w:rPr>
          <w:rFonts w:hint="eastAsia" w:ascii="宋体" w:hAnsi="宋体" w:cs="宋体"/>
          <w:szCs w:val="21"/>
        </w:rPr>
        <w:t>A.</w:t>
      </w:r>
      <w:r>
        <w:rPr>
          <w:rFonts w:hint="eastAsia" w:ascii="宋体" w:hAnsi="宋体" w:cs="宋体"/>
          <w:szCs w:val="21"/>
          <w:lang w:val="en-US" w:eastAsia="zh-CN"/>
        </w:rPr>
        <w:t>6</w:t>
      </w:r>
      <w:r>
        <w:rPr>
          <w:rFonts w:hint="eastAsia" w:ascii="宋体" w:hAnsi="宋体" w:cs="宋体"/>
          <w:szCs w:val="21"/>
        </w:rPr>
        <w:t>.2 项目组成员及分工</w:t>
      </w:r>
      <w:bookmarkEnd w:id="38"/>
    </w:p>
    <w:p>
      <w:pPr>
        <w:autoSpaceDE w:val="0"/>
        <w:autoSpaceDN w:val="0"/>
        <w:jc w:val="left"/>
        <w:rPr>
          <w:rFonts w:hint="eastAsia" w:ascii="黑体" w:eastAsia="黑体"/>
          <w:kern w:val="0"/>
          <w:szCs w:val="20"/>
        </w:rPr>
      </w:pPr>
      <w:bookmarkStart w:id="39" w:name="_Toc18043_WPSOffice_Level2"/>
      <w:r>
        <w:rPr>
          <w:rFonts w:hint="eastAsia" w:ascii="黑体" w:eastAsia="黑体"/>
          <w:kern w:val="0"/>
          <w:szCs w:val="20"/>
        </w:rPr>
        <w:t>A.</w:t>
      </w:r>
      <w:r>
        <w:rPr>
          <w:rFonts w:hint="eastAsia" w:ascii="黑体" w:eastAsia="黑体"/>
          <w:kern w:val="0"/>
          <w:szCs w:val="20"/>
          <w:lang w:val="en-US" w:eastAsia="zh-CN"/>
        </w:rPr>
        <w:t>7</w:t>
      </w:r>
      <w:r>
        <w:rPr>
          <w:rFonts w:hint="eastAsia" w:ascii="黑体" w:eastAsia="黑体"/>
          <w:kern w:val="0"/>
          <w:szCs w:val="20"/>
        </w:rPr>
        <w:t xml:space="preserve"> 经费预算</w:t>
      </w:r>
      <w:bookmarkEnd w:id="39"/>
    </w:p>
    <w:p>
      <w:pPr>
        <w:autoSpaceDE w:val="0"/>
        <w:autoSpaceDN w:val="0"/>
        <w:jc w:val="left"/>
        <w:rPr>
          <w:rFonts w:hint="eastAsia" w:ascii="黑体" w:eastAsia="黑体"/>
          <w:kern w:val="0"/>
          <w:szCs w:val="20"/>
        </w:rPr>
      </w:pPr>
      <w:bookmarkStart w:id="40" w:name="_Toc7366_WPSOffice_Level2"/>
      <w:r>
        <w:rPr>
          <w:rFonts w:hint="eastAsia" w:ascii="黑体" w:eastAsia="黑体"/>
          <w:kern w:val="0"/>
          <w:szCs w:val="20"/>
        </w:rPr>
        <w:t>A.</w:t>
      </w:r>
      <w:r>
        <w:rPr>
          <w:rFonts w:hint="eastAsia" w:ascii="黑体" w:eastAsia="黑体"/>
          <w:kern w:val="0"/>
          <w:szCs w:val="20"/>
          <w:lang w:val="en-US" w:eastAsia="zh-CN"/>
        </w:rPr>
        <w:t>8</w:t>
      </w:r>
      <w:r>
        <w:rPr>
          <w:rFonts w:hint="eastAsia" w:ascii="黑体" w:eastAsia="黑体"/>
          <w:kern w:val="0"/>
          <w:szCs w:val="20"/>
        </w:rPr>
        <w:t xml:space="preserve"> 质量保证和安全措施</w:t>
      </w:r>
      <w:bookmarkEnd w:id="40"/>
    </w:p>
    <w:p>
      <w:pPr>
        <w:autoSpaceDE w:val="0"/>
        <w:autoSpaceDN w:val="0"/>
        <w:ind w:firstLine="440" w:firstLineChars="200"/>
        <w:jc w:val="left"/>
        <w:rPr>
          <w:rFonts w:hint="eastAsia" w:ascii="宋体" w:hAnsi="宋体" w:cs="宋体"/>
          <w:szCs w:val="21"/>
        </w:rPr>
      </w:pPr>
      <w:bookmarkStart w:id="41" w:name="_Toc13715_WPSOffice_Level2"/>
      <w:r>
        <w:rPr>
          <w:rFonts w:hint="eastAsia" w:ascii="宋体" w:hAnsi="宋体" w:cs="宋体"/>
          <w:szCs w:val="21"/>
        </w:rPr>
        <w:t>A.</w:t>
      </w:r>
      <w:r>
        <w:rPr>
          <w:rFonts w:hint="eastAsia" w:ascii="宋体" w:hAnsi="宋体" w:cs="宋体"/>
          <w:szCs w:val="21"/>
          <w:lang w:val="en-US" w:eastAsia="zh-CN"/>
        </w:rPr>
        <w:t>8</w:t>
      </w:r>
      <w:r>
        <w:rPr>
          <w:rFonts w:hint="eastAsia" w:ascii="宋体" w:hAnsi="宋体" w:cs="宋体"/>
          <w:szCs w:val="21"/>
        </w:rPr>
        <w:t>.1 质量保证</w:t>
      </w:r>
      <w:bookmarkEnd w:id="41"/>
    </w:p>
    <w:p>
      <w:pPr>
        <w:autoSpaceDE w:val="0"/>
        <w:autoSpaceDN w:val="0"/>
        <w:ind w:firstLine="440" w:firstLineChars="200"/>
        <w:jc w:val="left"/>
        <w:rPr>
          <w:rFonts w:hint="eastAsia" w:ascii="宋体" w:hAnsi="宋体" w:cs="宋体"/>
          <w:szCs w:val="21"/>
        </w:rPr>
      </w:pPr>
      <w:bookmarkStart w:id="42" w:name="_Toc3152_WPSOffice_Level2"/>
      <w:r>
        <w:rPr>
          <w:rFonts w:hint="eastAsia" w:ascii="宋体" w:hAnsi="宋体" w:cs="宋体"/>
          <w:szCs w:val="21"/>
        </w:rPr>
        <w:t>A.</w:t>
      </w:r>
      <w:r>
        <w:rPr>
          <w:rFonts w:hint="eastAsia" w:ascii="宋体" w:hAnsi="宋体" w:cs="宋体"/>
          <w:szCs w:val="21"/>
          <w:lang w:val="en-US" w:eastAsia="zh-CN"/>
        </w:rPr>
        <w:t>8</w:t>
      </w:r>
      <w:r>
        <w:rPr>
          <w:rFonts w:hint="eastAsia" w:ascii="宋体" w:hAnsi="宋体" w:cs="宋体"/>
          <w:szCs w:val="21"/>
        </w:rPr>
        <w:t>.2 安全和劳动保护措施</w:t>
      </w:r>
      <w:bookmarkEnd w:id="42"/>
    </w:p>
    <w:p>
      <w:pPr>
        <w:pStyle w:val="2"/>
        <w:rPr>
          <w:rFonts w:hint="eastAsia" w:ascii="宋体" w:hAnsi="宋体" w:cs="宋体"/>
          <w:szCs w:val="21"/>
        </w:rPr>
      </w:pPr>
    </w:p>
    <w:p>
      <w:pPr>
        <w:rPr>
          <w:rFonts w:hint="eastAsia"/>
        </w:rPr>
      </w:pPr>
    </w:p>
    <w:p>
      <w:pPr>
        <w:pStyle w:val="3"/>
        <w:jc w:val="center"/>
        <w:rPr>
          <w:rFonts w:hint="eastAsia"/>
        </w:rPr>
      </w:pPr>
      <w:bookmarkStart w:id="43" w:name="_Toc8174"/>
    </w:p>
    <w:p>
      <w:pPr>
        <w:pStyle w:val="3"/>
        <w:jc w:val="center"/>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jc w:val="cente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spacing w:before="0"/>
        <w:ind w:left="0" w:firstLine="0"/>
        <w:jc w:val="center"/>
        <w:rPr>
          <w:b w:val="0"/>
          <w:bCs w:val="0"/>
        </w:rPr>
      </w:pPr>
      <w:r>
        <w:rPr>
          <w:rFonts w:hint="eastAsia"/>
          <w:b w:val="0"/>
          <w:bCs w:val="0"/>
        </w:rPr>
        <w:t>附</w:t>
      </w:r>
      <w:r>
        <w:rPr>
          <w:rFonts w:hint="eastAsia"/>
          <w:b w:val="0"/>
          <w:bCs w:val="0"/>
        </w:rPr>
        <w:tab/>
      </w:r>
      <w:r>
        <w:rPr>
          <w:rFonts w:hint="eastAsia"/>
          <w:b w:val="0"/>
          <w:bCs w:val="0"/>
        </w:rPr>
        <w:t>录</w:t>
      </w:r>
      <w:r>
        <w:rPr>
          <w:rFonts w:hint="eastAsia"/>
          <w:b w:val="0"/>
          <w:bCs w:val="0"/>
        </w:rPr>
        <w:tab/>
      </w:r>
      <w:r>
        <w:rPr>
          <w:rFonts w:hint="eastAsia"/>
          <w:b w:val="0"/>
          <w:bCs w:val="0"/>
        </w:rPr>
        <w:t>B</w:t>
      </w:r>
      <w:bookmarkEnd w:id="43"/>
    </w:p>
    <w:p>
      <w:pPr>
        <w:pStyle w:val="3"/>
        <w:spacing w:before="0"/>
        <w:ind w:left="0" w:firstLine="0"/>
        <w:jc w:val="center"/>
        <w:rPr>
          <w:b w:val="0"/>
          <w:bCs w:val="0"/>
        </w:rPr>
      </w:pPr>
      <w:bookmarkStart w:id="44" w:name="_Toc24969"/>
      <w:bookmarkStart w:id="45" w:name="_Toc26007"/>
      <w:bookmarkStart w:id="46" w:name="_Toc27689_WPSOffice_Level1"/>
      <w:r>
        <w:rPr>
          <w:rFonts w:hint="eastAsia"/>
          <w:b w:val="0"/>
          <w:bCs w:val="0"/>
        </w:rPr>
        <w:t>（资料性附录）</w:t>
      </w:r>
      <w:bookmarkEnd w:id="44"/>
      <w:bookmarkEnd w:id="45"/>
      <w:bookmarkEnd w:id="46"/>
    </w:p>
    <w:p>
      <w:pPr>
        <w:pStyle w:val="3"/>
        <w:spacing w:before="0"/>
        <w:ind w:left="0" w:firstLine="0"/>
        <w:jc w:val="center"/>
        <w:rPr>
          <w:b w:val="0"/>
          <w:bCs w:val="0"/>
        </w:rPr>
      </w:pPr>
      <w:bookmarkStart w:id="47" w:name="_Toc2082_WPSOffice_Level2"/>
      <w:bookmarkStart w:id="48" w:name="_Toc6316"/>
      <w:r>
        <w:rPr>
          <w:rFonts w:hint="eastAsia"/>
          <w:b w:val="0"/>
          <w:bCs w:val="0"/>
        </w:rPr>
        <w:t>土壤污染防治成效综合评估报告编写提纲</w:t>
      </w:r>
      <w:bookmarkEnd w:id="47"/>
      <w:bookmarkEnd w:id="48"/>
    </w:p>
    <w:p>
      <w:pPr>
        <w:pStyle w:val="6"/>
        <w:spacing w:before="40" w:line="278" w:lineRule="auto"/>
        <w:ind w:right="5701"/>
        <w:rPr>
          <w:rFonts w:hint="eastAsia"/>
        </w:rPr>
      </w:pPr>
    </w:p>
    <w:p>
      <w:pPr>
        <w:autoSpaceDE w:val="0"/>
        <w:autoSpaceDN w:val="0"/>
        <w:jc w:val="left"/>
        <w:rPr>
          <w:rFonts w:hint="eastAsia" w:ascii="黑体" w:eastAsia="黑体"/>
          <w:kern w:val="0"/>
          <w:szCs w:val="20"/>
        </w:rPr>
      </w:pPr>
      <w:bookmarkStart w:id="49" w:name="_Toc3918"/>
      <w:bookmarkStart w:id="50" w:name="_Toc2997_WPSOffice_Level1"/>
      <w:r>
        <w:rPr>
          <w:rFonts w:hint="eastAsia" w:ascii="黑体" w:eastAsia="黑体"/>
          <w:kern w:val="0"/>
          <w:szCs w:val="20"/>
        </w:rPr>
        <w:t>B.1 前  言</w:t>
      </w:r>
      <w:bookmarkEnd w:id="49"/>
      <w:bookmarkEnd w:id="50"/>
    </w:p>
    <w:p>
      <w:pPr>
        <w:autoSpaceDE w:val="0"/>
        <w:autoSpaceDN w:val="0"/>
        <w:jc w:val="left"/>
        <w:rPr>
          <w:rFonts w:ascii="黑体" w:eastAsia="黑体"/>
          <w:kern w:val="0"/>
          <w:szCs w:val="20"/>
        </w:rPr>
      </w:pPr>
      <w:bookmarkStart w:id="51" w:name="_Toc30603"/>
      <w:bookmarkStart w:id="52" w:name="_Toc24536_WPSOffice_Level1"/>
      <w:r>
        <w:rPr>
          <w:rFonts w:hint="eastAsia" w:ascii="黑体" w:eastAsia="黑体"/>
          <w:kern w:val="0"/>
          <w:szCs w:val="20"/>
        </w:rPr>
        <w:t>B.2 土壤</w:t>
      </w:r>
      <w:bookmarkEnd w:id="51"/>
      <w:bookmarkEnd w:id="52"/>
      <w:r>
        <w:rPr>
          <w:rFonts w:hint="eastAsia" w:ascii="黑体" w:eastAsia="黑体"/>
          <w:kern w:val="0"/>
          <w:szCs w:val="20"/>
        </w:rPr>
        <w:t>污染防治政策制度</w:t>
      </w:r>
    </w:p>
    <w:p>
      <w:pPr>
        <w:pStyle w:val="11"/>
        <w:tabs>
          <w:tab w:val="right" w:leader="dot" w:pos="9070"/>
          <w:tab w:val="clear" w:pos="9060"/>
        </w:tabs>
        <w:adjustRightInd w:val="0"/>
        <w:snapToGrid w:val="0"/>
        <w:ind w:firstLine="440" w:firstLineChars="200"/>
        <w:rPr>
          <w:rFonts w:hint="eastAsia" w:hAnsi="宋体" w:cs="宋体"/>
          <w:lang w:val="zh-CN"/>
        </w:rPr>
      </w:pPr>
      <w:bookmarkStart w:id="53" w:name="_Toc10815_WPSOffice_Level2"/>
      <w:r>
        <w:rPr>
          <w:rFonts w:hint="eastAsia" w:hAnsi="宋体" w:cs="宋体"/>
          <w:lang w:bidi="en-US"/>
        </w:rPr>
        <w:t>B.2.1</w:t>
      </w:r>
      <w:r>
        <w:rPr>
          <w:rFonts w:hint="eastAsia" w:hAnsi="宋体" w:cs="宋体"/>
        </w:rPr>
        <w:t xml:space="preserve"> </w:t>
      </w:r>
      <w:r>
        <w:rPr>
          <w:rFonts w:hint="eastAsia" w:hAnsi="宋体" w:cs="宋体"/>
          <w:lang w:val="zh-CN"/>
        </w:rPr>
        <w:fldChar w:fldCharType="begin"/>
      </w:r>
      <w:r>
        <w:rPr>
          <w:rFonts w:hint="eastAsia" w:hAnsi="宋体" w:cs="宋体"/>
          <w:lang w:val="zh-CN"/>
        </w:rPr>
        <w:instrText xml:space="preserve"> HYPERL</w:instrText>
      </w:r>
      <w:bookmarkEnd w:id="53"/>
      <w:r>
        <w:rPr>
          <w:rFonts w:hint="eastAsia" w:hAnsi="宋体" w:cs="宋体"/>
          <w:lang w:val="zh-CN"/>
        </w:rPr>
        <w:instrText xml:space="preserve">INK \l _Toc22287 </w:instrText>
      </w:r>
      <w:r>
        <w:rPr>
          <w:rFonts w:hint="eastAsia" w:hAnsi="宋体" w:cs="宋体"/>
          <w:lang w:val="zh-CN"/>
        </w:rPr>
        <w:fldChar w:fldCharType="separate"/>
      </w:r>
      <w:r>
        <w:rPr>
          <w:rFonts w:hint="eastAsia" w:hAnsi="宋体" w:cs="宋体"/>
        </w:rPr>
        <w:t>被评估县（区、市）基本情况</w:t>
      </w:r>
      <w:r>
        <w:rPr>
          <w:rFonts w:hint="eastAsia" w:hAnsi="宋体" w:cs="宋体"/>
          <w:lang w:val="zh-CN"/>
        </w:rPr>
        <w:fldChar w:fldCharType="end"/>
      </w:r>
    </w:p>
    <w:p>
      <w:pPr>
        <w:pStyle w:val="6"/>
        <w:autoSpaceDE w:val="0"/>
        <w:autoSpaceDN w:val="0"/>
        <w:ind w:firstLine="420" w:firstLineChars="200"/>
        <w:rPr>
          <w:rFonts w:hint="eastAsia" w:ascii="宋体" w:hAnsi="宋体" w:cs="宋体"/>
        </w:rPr>
      </w:pPr>
      <w:bookmarkStart w:id="54" w:name="_Toc14747"/>
      <w:r>
        <w:rPr>
          <w:rFonts w:hint="eastAsia" w:ascii="宋体" w:hAnsi="宋体" w:cs="宋体"/>
          <w:lang w:val="zh-CN"/>
        </w:rPr>
        <w:fldChar w:fldCharType="begin"/>
      </w:r>
      <w:r>
        <w:rPr>
          <w:rFonts w:hint="eastAsia" w:ascii="宋体" w:hAnsi="宋体" w:cs="宋体"/>
          <w:lang w:val="zh-CN"/>
        </w:rPr>
        <w:instrText xml:space="preserve"> HYPERLINK \l _Toc11888 </w:instrText>
      </w:r>
      <w:r>
        <w:rPr>
          <w:rFonts w:hint="eastAsia" w:ascii="宋体" w:hAnsi="宋体" w:cs="宋体"/>
          <w:lang w:val="zh-CN"/>
        </w:rPr>
        <w:fldChar w:fldCharType="separate"/>
      </w:r>
      <w:bookmarkStart w:id="55" w:name="_Toc25416_WPSOffice_Level1"/>
      <w:r>
        <w:rPr>
          <w:rFonts w:hint="eastAsia" w:ascii="宋体" w:hAnsi="宋体" w:cs="宋体"/>
          <w:lang w:bidi="en-US"/>
        </w:rPr>
        <w:t xml:space="preserve">B.2.2 </w:t>
      </w:r>
      <w:r>
        <w:rPr>
          <w:rFonts w:hint="eastAsia" w:ascii="宋体" w:hAnsi="宋体" w:cs="宋体"/>
        </w:rPr>
        <w:t>制度建设</w:t>
      </w:r>
      <w:bookmarkEnd w:id="55"/>
      <w:r>
        <w:rPr>
          <w:rFonts w:hint="eastAsia" w:ascii="宋体" w:hAnsi="宋体" w:cs="宋体"/>
          <w:lang w:val="zh-CN"/>
        </w:rPr>
        <w:fldChar w:fldCharType="end"/>
      </w:r>
      <w:bookmarkEnd w:id="54"/>
    </w:p>
    <w:p>
      <w:pPr>
        <w:autoSpaceDE w:val="0"/>
        <w:autoSpaceDN w:val="0"/>
        <w:jc w:val="left"/>
        <w:rPr>
          <w:rFonts w:hint="eastAsia" w:ascii="黑体" w:eastAsia="黑体"/>
          <w:kern w:val="0"/>
          <w:szCs w:val="20"/>
        </w:rPr>
      </w:pPr>
      <w:bookmarkStart w:id="56" w:name="_Toc26369"/>
      <w:bookmarkStart w:id="57" w:name="_Toc20707_WPSOffice_Level1"/>
      <w:r>
        <w:rPr>
          <w:rFonts w:hint="eastAsia" w:ascii="黑体" w:eastAsia="黑体"/>
          <w:kern w:val="0"/>
          <w:szCs w:val="20"/>
        </w:rPr>
        <w:t>B.3 建设用地土壤环境管理</w:t>
      </w:r>
      <w:bookmarkEnd w:id="56"/>
      <w:bookmarkEnd w:id="57"/>
    </w:p>
    <w:p>
      <w:pPr>
        <w:pStyle w:val="6"/>
        <w:autoSpaceDE w:val="0"/>
        <w:autoSpaceDN w:val="0"/>
        <w:ind w:firstLine="420" w:firstLineChars="200"/>
        <w:rPr>
          <w:rFonts w:hint="eastAsia" w:ascii="宋体" w:hAnsi="宋体" w:cs="宋体"/>
        </w:rPr>
      </w:pPr>
      <w:bookmarkStart w:id="58" w:name="_Toc23829_WPSOffice_Level2"/>
      <w:bookmarkStart w:id="59" w:name="_Toc6202"/>
      <w:r>
        <w:rPr>
          <w:rFonts w:hint="eastAsia" w:ascii="宋体" w:hAnsi="宋体" w:cs="宋体"/>
        </w:rPr>
        <w:t xml:space="preserve">B.3.1 </w:t>
      </w:r>
      <w:bookmarkEnd w:id="58"/>
      <w:bookmarkEnd w:id="59"/>
      <w:r>
        <w:rPr>
          <w:rFonts w:hint="eastAsia" w:ascii="宋体" w:hAnsi="宋体" w:cs="宋体"/>
        </w:rPr>
        <w:t>土壤污染重点监管单位</w:t>
      </w:r>
    </w:p>
    <w:p>
      <w:pPr>
        <w:pStyle w:val="6"/>
        <w:autoSpaceDE w:val="0"/>
        <w:autoSpaceDN w:val="0"/>
        <w:ind w:firstLine="420" w:firstLineChars="200"/>
        <w:rPr>
          <w:rFonts w:hint="eastAsia" w:ascii="宋体" w:hAnsi="宋体" w:cs="宋体"/>
        </w:rPr>
      </w:pPr>
      <w:bookmarkStart w:id="60" w:name="_Toc5431_WPSOffice_Level2"/>
      <w:bookmarkStart w:id="61" w:name="_Toc23489"/>
      <w:r>
        <w:rPr>
          <w:rFonts w:hint="eastAsia" w:ascii="宋体" w:hAnsi="宋体" w:cs="宋体"/>
        </w:rPr>
        <w:t>B.3.2 建设用地准入管理</w:t>
      </w:r>
      <w:bookmarkEnd w:id="60"/>
      <w:bookmarkEnd w:id="61"/>
    </w:p>
    <w:p>
      <w:pPr>
        <w:pStyle w:val="6"/>
        <w:autoSpaceDE w:val="0"/>
        <w:autoSpaceDN w:val="0"/>
        <w:ind w:firstLine="420" w:firstLineChars="200"/>
        <w:rPr>
          <w:rFonts w:hint="default" w:ascii="宋体" w:hAnsi="宋体" w:eastAsia="宋体" w:cs="宋体"/>
          <w:lang w:val="en-US" w:eastAsia="zh-CN"/>
        </w:rPr>
      </w:pPr>
      <w:bookmarkStart w:id="62" w:name="_Toc17406_WPSOffice_Level2"/>
      <w:bookmarkStart w:id="63" w:name="_Toc16711"/>
      <w:r>
        <w:rPr>
          <w:rFonts w:hint="eastAsia" w:ascii="宋体" w:hAnsi="宋体" w:cs="宋体"/>
        </w:rPr>
        <w:t xml:space="preserve">B.3.3 </w:t>
      </w:r>
      <w:bookmarkEnd w:id="62"/>
      <w:bookmarkEnd w:id="63"/>
      <w:r>
        <w:rPr>
          <w:rFonts w:hint="eastAsia" w:ascii="宋体" w:hAnsi="宋体" w:cs="宋体"/>
        </w:rPr>
        <w:t>建设用地</w:t>
      </w:r>
      <w:r>
        <w:rPr>
          <w:rFonts w:hint="eastAsia" w:ascii="宋体" w:hAnsi="宋体" w:cs="宋体"/>
          <w:lang w:val="en-US" w:eastAsia="zh-CN"/>
        </w:rPr>
        <w:t>地块监测</w:t>
      </w:r>
    </w:p>
    <w:p>
      <w:pPr>
        <w:pStyle w:val="6"/>
        <w:autoSpaceDE w:val="0"/>
        <w:autoSpaceDN w:val="0"/>
        <w:ind w:firstLine="420" w:firstLineChars="200"/>
        <w:rPr>
          <w:rFonts w:hint="eastAsia" w:ascii="宋体" w:hAnsi="宋体" w:cs="宋体"/>
        </w:rPr>
      </w:pPr>
      <w:bookmarkStart w:id="64" w:name="_Toc29785_WPSOffice_Level2"/>
      <w:bookmarkStart w:id="65" w:name="_Toc8020"/>
      <w:r>
        <w:rPr>
          <w:rFonts w:hint="eastAsia" w:ascii="宋体" w:hAnsi="宋体" w:cs="宋体"/>
        </w:rPr>
        <w:t xml:space="preserve">B.3.4 </w:t>
      </w:r>
      <w:bookmarkEnd w:id="64"/>
      <w:bookmarkEnd w:id="65"/>
      <w:r>
        <w:rPr>
          <w:rFonts w:hint="eastAsia" w:ascii="宋体" w:hAnsi="宋体" w:cs="宋体"/>
        </w:rPr>
        <w:t>其他</w:t>
      </w:r>
    </w:p>
    <w:p>
      <w:pPr>
        <w:autoSpaceDE w:val="0"/>
        <w:autoSpaceDN w:val="0"/>
        <w:jc w:val="left"/>
        <w:rPr>
          <w:rFonts w:hint="eastAsia" w:ascii="黑体" w:eastAsia="黑体"/>
          <w:kern w:val="0"/>
          <w:szCs w:val="20"/>
        </w:rPr>
      </w:pPr>
      <w:bookmarkStart w:id="66" w:name="_Toc31233_WPSOffice_Level1"/>
      <w:bookmarkStart w:id="67" w:name="_Toc23699"/>
      <w:r>
        <w:rPr>
          <w:rFonts w:hint="eastAsia" w:ascii="黑体" w:eastAsia="黑体"/>
          <w:kern w:val="0"/>
          <w:szCs w:val="20"/>
        </w:rPr>
        <w:t>B.4 农用地土壤环境管理</w:t>
      </w:r>
      <w:bookmarkEnd w:id="66"/>
      <w:bookmarkEnd w:id="67"/>
    </w:p>
    <w:p>
      <w:pPr>
        <w:pStyle w:val="6"/>
        <w:autoSpaceDE w:val="0"/>
        <w:autoSpaceDN w:val="0"/>
        <w:ind w:firstLine="420" w:firstLineChars="200"/>
        <w:rPr>
          <w:rFonts w:hint="eastAsia" w:ascii="宋体" w:hAnsi="宋体" w:cs="宋体"/>
          <w:highlight w:val="yellow"/>
        </w:rPr>
      </w:pPr>
      <w:bookmarkStart w:id="68" w:name="_Toc27064_WPSOffice_Level2"/>
      <w:bookmarkStart w:id="69" w:name="_Toc29326"/>
      <w:r>
        <w:rPr>
          <w:rFonts w:hint="eastAsia" w:ascii="宋体" w:hAnsi="宋体" w:cs="宋体"/>
        </w:rPr>
        <w:t xml:space="preserve">B.4.1 </w:t>
      </w:r>
      <w:r>
        <w:rPr>
          <w:rFonts w:hint="eastAsia" w:ascii="宋体" w:hAnsi="宋体" w:cs="宋体"/>
          <w:highlight w:val="none"/>
        </w:rPr>
        <w:t>农用地土壤分类管理</w:t>
      </w:r>
      <w:bookmarkEnd w:id="68"/>
      <w:bookmarkEnd w:id="69"/>
    </w:p>
    <w:p>
      <w:pPr>
        <w:pStyle w:val="6"/>
        <w:autoSpaceDE w:val="0"/>
        <w:autoSpaceDN w:val="0"/>
        <w:ind w:firstLine="420" w:firstLineChars="200"/>
        <w:rPr>
          <w:rFonts w:hint="default" w:ascii="宋体" w:hAnsi="宋体" w:eastAsia="宋体" w:cs="宋体"/>
          <w:highlight w:val="yellow"/>
          <w:lang w:val="en-US" w:eastAsia="zh-CN"/>
        </w:rPr>
      </w:pPr>
      <w:r>
        <w:rPr>
          <w:rFonts w:hint="eastAsia" w:ascii="宋体" w:hAnsi="宋体" w:cs="宋体"/>
        </w:rPr>
        <w:t>B.4.</w:t>
      </w:r>
      <w:r>
        <w:rPr>
          <w:rFonts w:hint="eastAsia" w:ascii="宋体" w:hAnsi="宋体" w:cs="宋体"/>
          <w:lang w:val="en-US" w:eastAsia="zh-CN"/>
        </w:rPr>
        <w:t>2</w:t>
      </w:r>
      <w:r>
        <w:rPr>
          <w:rFonts w:hint="eastAsia" w:ascii="宋体" w:hAnsi="宋体" w:cs="宋体"/>
        </w:rPr>
        <w:t xml:space="preserve"> </w:t>
      </w:r>
      <w:r>
        <w:rPr>
          <w:rFonts w:hint="eastAsia" w:ascii="宋体" w:hAnsi="宋体" w:cs="宋体"/>
          <w:highlight w:val="none"/>
        </w:rPr>
        <w:t>农用地</w:t>
      </w:r>
      <w:r>
        <w:rPr>
          <w:rFonts w:hint="eastAsia" w:ascii="宋体" w:hAnsi="宋体" w:cs="宋体"/>
          <w:highlight w:val="none"/>
          <w:lang w:val="en-US" w:eastAsia="zh-CN"/>
        </w:rPr>
        <w:t>地块监测</w:t>
      </w:r>
    </w:p>
    <w:p>
      <w:pPr>
        <w:pStyle w:val="6"/>
        <w:autoSpaceDE w:val="0"/>
        <w:autoSpaceDN w:val="0"/>
        <w:ind w:firstLine="420" w:firstLineChars="200"/>
        <w:rPr>
          <w:rFonts w:hint="eastAsia" w:ascii="宋体" w:hAnsi="宋体" w:cs="宋体"/>
        </w:rPr>
      </w:pPr>
      <w:bookmarkStart w:id="70" w:name="_Toc28851_WPSOffice_Level2"/>
      <w:bookmarkStart w:id="71" w:name="_Toc11302"/>
      <w:r>
        <w:rPr>
          <w:rFonts w:hint="eastAsia" w:ascii="宋体" w:hAnsi="宋体" w:cs="宋体"/>
        </w:rPr>
        <w:t>B.4.</w:t>
      </w:r>
      <w:r>
        <w:rPr>
          <w:rFonts w:hint="eastAsia" w:ascii="宋体" w:hAnsi="宋体" w:cs="宋体"/>
          <w:lang w:val="en-US" w:eastAsia="zh-CN"/>
        </w:rPr>
        <w:t>3</w:t>
      </w:r>
      <w:r>
        <w:rPr>
          <w:rFonts w:hint="eastAsia" w:ascii="宋体" w:hAnsi="宋体" w:cs="宋体"/>
        </w:rPr>
        <w:t xml:space="preserve"> </w:t>
      </w:r>
      <w:bookmarkEnd w:id="70"/>
      <w:bookmarkEnd w:id="71"/>
      <w:r>
        <w:rPr>
          <w:rFonts w:hint="eastAsia" w:ascii="宋体" w:hAnsi="宋体" w:cs="宋体"/>
        </w:rPr>
        <w:t>其他</w:t>
      </w:r>
    </w:p>
    <w:p>
      <w:pPr>
        <w:autoSpaceDE w:val="0"/>
        <w:autoSpaceDN w:val="0"/>
        <w:jc w:val="left"/>
        <w:rPr>
          <w:rFonts w:hint="eastAsia" w:ascii="黑体" w:eastAsia="黑体"/>
          <w:kern w:val="0"/>
          <w:szCs w:val="20"/>
        </w:rPr>
      </w:pPr>
      <w:bookmarkStart w:id="72" w:name="_Toc23495_WPSOffice_Level1"/>
      <w:bookmarkStart w:id="73" w:name="_Toc18201"/>
      <w:r>
        <w:rPr>
          <w:rFonts w:hint="eastAsia" w:ascii="黑体" w:eastAsia="黑体"/>
          <w:kern w:val="0"/>
          <w:szCs w:val="20"/>
        </w:rPr>
        <w:t xml:space="preserve">B.5 </w:t>
      </w:r>
      <w:bookmarkEnd w:id="72"/>
      <w:bookmarkEnd w:id="73"/>
      <w:r>
        <w:rPr>
          <w:rFonts w:hint="eastAsia" w:ascii="黑体" w:eastAsia="黑体"/>
          <w:kern w:val="0"/>
          <w:szCs w:val="20"/>
        </w:rPr>
        <w:t>土壤污染源头预防</w:t>
      </w:r>
    </w:p>
    <w:p>
      <w:pPr>
        <w:pStyle w:val="6"/>
        <w:autoSpaceDE w:val="0"/>
        <w:autoSpaceDN w:val="0"/>
        <w:ind w:firstLine="420" w:firstLineChars="200"/>
        <w:rPr>
          <w:rFonts w:hint="eastAsia" w:ascii="宋体" w:hAnsi="宋体" w:cs="宋体"/>
          <w:highlight w:val="yellow"/>
        </w:rPr>
      </w:pPr>
      <w:r>
        <w:rPr>
          <w:rFonts w:hint="eastAsia" w:ascii="宋体" w:hAnsi="宋体" w:cs="宋体"/>
        </w:rPr>
        <w:t>B.</w:t>
      </w:r>
      <w:r>
        <w:rPr>
          <w:rFonts w:hint="eastAsia" w:ascii="宋体" w:hAnsi="宋体" w:cs="宋体"/>
          <w:lang w:val="en-US" w:eastAsia="zh-CN"/>
        </w:rPr>
        <w:t>5</w:t>
      </w:r>
      <w:r>
        <w:rPr>
          <w:rFonts w:hint="eastAsia" w:ascii="宋体" w:hAnsi="宋体" w:cs="宋体"/>
        </w:rPr>
        <w:t xml:space="preserve">.1 </w:t>
      </w:r>
      <w:r>
        <w:rPr>
          <w:rFonts w:hint="eastAsia" w:ascii="宋体" w:hAnsi="Times New Roman" w:eastAsia="宋体" w:cs="Times New Roman"/>
          <w:lang w:val="en-US" w:eastAsia="zh-CN"/>
        </w:rPr>
        <w:t>重金属污染防控</w:t>
      </w:r>
    </w:p>
    <w:p>
      <w:pPr>
        <w:pStyle w:val="6"/>
        <w:autoSpaceDE w:val="0"/>
        <w:autoSpaceDN w:val="0"/>
        <w:ind w:firstLine="420" w:firstLineChars="200"/>
        <w:rPr>
          <w:rFonts w:hint="eastAsia" w:ascii="宋体" w:hAnsi="宋体" w:eastAsia="宋体" w:cs="宋体"/>
          <w:highlight w:val="yellow"/>
          <w:lang w:val="en-US" w:eastAsia="zh-CN"/>
        </w:rPr>
      </w:pPr>
      <w:r>
        <w:rPr>
          <w:rFonts w:hint="eastAsia" w:ascii="宋体" w:hAnsi="宋体" w:cs="宋体"/>
        </w:rPr>
        <w:t>B.</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2</w:t>
      </w:r>
      <w:r>
        <w:rPr>
          <w:rFonts w:hint="eastAsia" w:ascii="宋体" w:hAnsi="宋体" w:cs="宋体"/>
        </w:rPr>
        <w:t xml:space="preserve"> </w:t>
      </w:r>
      <w:r>
        <w:rPr>
          <w:rFonts w:hint="eastAsia" w:ascii="宋体" w:hAnsi="宋体" w:cs="宋体"/>
          <w:highlight w:val="none"/>
        </w:rPr>
        <w:t>农业农村污染</w:t>
      </w:r>
      <w:r>
        <w:rPr>
          <w:rFonts w:hint="eastAsia" w:ascii="宋体" w:hAnsi="宋体" w:cs="宋体"/>
          <w:highlight w:val="none"/>
          <w:lang w:val="en-US" w:eastAsia="zh-CN"/>
        </w:rPr>
        <w:t>防治</w:t>
      </w:r>
    </w:p>
    <w:p>
      <w:pPr>
        <w:pStyle w:val="6"/>
        <w:autoSpaceDE w:val="0"/>
        <w:autoSpaceDN w:val="0"/>
        <w:ind w:firstLine="420" w:firstLineChars="200"/>
        <w:rPr>
          <w:rFonts w:hint="eastAsia" w:ascii="宋体" w:hAnsi="宋体" w:cs="宋体"/>
        </w:rPr>
      </w:pPr>
      <w:r>
        <w:rPr>
          <w:rFonts w:hint="eastAsia" w:ascii="宋体" w:hAnsi="宋体" w:cs="宋体"/>
        </w:rPr>
        <w:t>B.</w:t>
      </w:r>
      <w:r>
        <w:rPr>
          <w:rFonts w:hint="eastAsia" w:ascii="宋体" w:hAnsi="宋体" w:cs="宋体"/>
          <w:lang w:val="en-US" w:eastAsia="zh-CN"/>
        </w:rPr>
        <w:t>5</w:t>
      </w:r>
      <w:r>
        <w:rPr>
          <w:rFonts w:hint="eastAsia" w:ascii="宋体" w:hAnsi="宋体" w:cs="宋体"/>
        </w:rPr>
        <w:t>.</w:t>
      </w:r>
      <w:r>
        <w:rPr>
          <w:rFonts w:hint="eastAsia" w:ascii="宋体" w:hAnsi="宋体" w:cs="宋体"/>
          <w:lang w:val="en-US" w:eastAsia="zh-CN"/>
        </w:rPr>
        <w:t>3</w:t>
      </w:r>
      <w:r>
        <w:rPr>
          <w:rFonts w:hint="eastAsia" w:ascii="宋体" w:hAnsi="宋体" w:cs="宋体"/>
        </w:rPr>
        <w:t xml:space="preserve"> 其他</w:t>
      </w:r>
    </w:p>
    <w:p>
      <w:pPr>
        <w:autoSpaceDE w:val="0"/>
        <w:autoSpaceDN w:val="0"/>
        <w:jc w:val="left"/>
        <w:rPr>
          <w:rFonts w:hint="eastAsia" w:ascii="黑体" w:eastAsia="黑体"/>
          <w:kern w:val="0"/>
          <w:szCs w:val="20"/>
        </w:rPr>
      </w:pPr>
      <w:r>
        <w:rPr>
          <w:rFonts w:hint="eastAsia" w:ascii="黑体" w:eastAsia="黑体"/>
          <w:kern w:val="0"/>
          <w:szCs w:val="20"/>
        </w:rPr>
        <w:t>B.</w:t>
      </w:r>
      <w:r>
        <w:rPr>
          <w:rFonts w:hint="eastAsia" w:ascii="黑体" w:eastAsia="黑体"/>
          <w:kern w:val="0"/>
          <w:szCs w:val="20"/>
          <w:lang w:val="en-US" w:eastAsia="zh-CN"/>
        </w:rPr>
        <w:t>6</w:t>
      </w:r>
      <w:r>
        <w:rPr>
          <w:rFonts w:hint="eastAsia" w:ascii="黑体" w:eastAsia="黑体"/>
          <w:kern w:val="0"/>
          <w:szCs w:val="20"/>
        </w:rPr>
        <w:t xml:space="preserve"> 其他</w:t>
      </w:r>
    </w:p>
    <w:p>
      <w:pPr>
        <w:autoSpaceDE w:val="0"/>
        <w:autoSpaceDN w:val="0"/>
        <w:jc w:val="left"/>
        <w:rPr>
          <w:rFonts w:hint="eastAsia"/>
        </w:rPr>
      </w:pPr>
      <w:bookmarkStart w:id="74" w:name="_Toc17987_WPSOffice_Level1"/>
      <w:bookmarkStart w:id="75" w:name="_Toc12548"/>
      <w:r>
        <w:rPr>
          <w:rFonts w:hint="eastAsia" w:ascii="黑体" w:eastAsia="黑体"/>
          <w:kern w:val="0"/>
          <w:szCs w:val="20"/>
        </w:rPr>
        <w:t>B.</w:t>
      </w:r>
      <w:r>
        <w:rPr>
          <w:rFonts w:hint="eastAsia" w:ascii="黑体" w:eastAsia="黑体"/>
          <w:kern w:val="0"/>
          <w:szCs w:val="20"/>
          <w:lang w:val="en-US" w:eastAsia="zh-CN"/>
        </w:rPr>
        <w:t>7</w:t>
      </w:r>
      <w:r>
        <w:rPr>
          <w:rFonts w:hint="eastAsia" w:ascii="黑体" w:eastAsia="黑体"/>
          <w:kern w:val="0"/>
          <w:szCs w:val="20"/>
        </w:rPr>
        <w:t xml:space="preserve"> 评估结论和工作建议</w:t>
      </w:r>
      <w:bookmarkEnd w:id="74"/>
      <w:bookmarkEnd w:id="75"/>
    </w:p>
    <w:p>
      <w:pPr>
        <w:pStyle w:val="48"/>
        <w:rPr>
          <w:rFonts w:hint="eastAsia"/>
        </w:rPr>
      </w:pPr>
      <w:r>
        <w:t>_________________________________</w:t>
      </w:r>
    </w:p>
    <w:p>
      <w:pPr>
        <w:pStyle w:val="31"/>
        <w:rPr>
          <w:rFonts w:hint="eastAsia"/>
        </w:rPr>
      </w:pPr>
    </w:p>
    <w:p>
      <w:pPr>
        <w:pStyle w:val="48"/>
        <w:framePr w:hSpace="0" w:vSpace="0" w:wrap="auto" w:vAnchor="margin" w:hAnchor="text" w:xAlign="left" w:yAlign="inline"/>
        <w:rPr>
          <w:rFonts w:hint="eastAsia"/>
        </w:rPr>
      </w:pPr>
    </w:p>
    <w:p>
      <w:pPr>
        <w:pStyle w:val="6"/>
        <w:keepNext w:val="0"/>
        <w:keepLines w:val="0"/>
        <w:pageBreakBefore w:val="0"/>
        <w:widowControl w:val="0"/>
        <w:kinsoku/>
        <w:wordWrap/>
        <w:overflowPunct/>
        <w:topLinePunct w:val="0"/>
        <w:autoSpaceDE w:val="0"/>
        <w:autoSpaceDN w:val="0"/>
        <w:bidi w:val="0"/>
        <w:adjustRightInd/>
        <w:snapToGrid/>
        <w:spacing w:before="40" w:line="279" w:lineRule="auto"/>
        <w:ind w:right="0" w:firstLine="420" w:firstLineChars="200"/>
        <w:jc w:val="both"/>
        <w:textAlignment w:val="auto"/>
        <w:rPr>
          <w:rFonts w:hint="eastAsia"/>
          <w:b w:val="0"/>
          <w:bCs w:val="0"/>
          <w:lang w:eastAsia="zh-CN"/>
        </w:rPr>
        <w:sectPr>
          <w:headerReference r:id="rId10" w:type="default"/>
          <w:footerReference r:id="rId11" w:type="default"/>
          <w:pgSz w:w="11910" w:h="16840"/>
          <w:pgMar w:top="1640" w:right="920" w:bottom="1040" w:left="1300" w:header="1420" w:footer="853" w:gutter="0"/>
          <w:pgNumType w:fmt="decimal" w:start="1"/>
          <w:cols w:space="720" w:num="1"/>
        </w:sectPr>
      </w:pPr>
    </w:p>
    <w:tbl>
      <w:tblPr>
        <w:tblStyle w:val="12"/>
        <w:tblW w:w="512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2368"/>
        <w:gridCol w:w="1131"/>
        <w:gridCol w:w="8557"/>
        <w:gridCol w:w="1166"/>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526" w:type="dxa"/>
            <w:gridSpan w:val="6"/>
            <w:tcBorders>
              <w:top w:val="nil"/>
              <w:left w:val="nil"/>
              <w:bottom w:val="nil"/>
              <w:right w:val="nil"/>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ind w:left="0" w:firstLine="0"/>
              <w:jc w:val="center"/>
              <w:textAlignment w:val="auto"/>
              <w:rPr>
                <w:b w:val="0"/>
                <w:bCs w:val="0"/>
                <w:lang w:eastAsia="zh-CN"/>
              </w:rPr>
            </w:pPr>
            <w:r>
              <w:rPr>
                <w:rFonts w:hint="eastAsia"/>
                <w:b w:val="0"/>
                <w:bCs w:val="0"/>
                <w:lang w:eastAsia="zh-CN"/>
              </w:rPr>
              <w:t>附</w:t>
            </w:r>
            <w:r>
              <w:rPr>
                <w:rFonts w:hint="eastAsia"/>
                <w:b w:val="0"/>
                <w:bCs w:val="0"/>
                <w:lang w:eastAsia="zh-CN"/>
              </w:rPr>
              <w:tab/>
            </w:r>
            <w:r>
              <w:rPr>
                <w:rFonts w:hint="eastAsia"/>
                <w:b w:val="0"/>
                <w:bCs w:val="0"/>
                <w:lang w:eastAsia="zh-CN"/>
              </w:rPr>
              <w:t>录</w:t>
            </w:r>
            <w:r>
              <w:rPr>
                <w:rFonts w:hint="eastAsia"/>
                <w:b w:val="0"/>
                <w:bCs w:val="0"/>
                <w:lang w:eastAsia="zh-CN"/>
              </w:rPr>
              <w:tab/>
            </w:r>
            <w:r>
              <w:rPr>
                <w:rFonts w:hint="eastAsia"/>
                <w:b w:val="0"/>
                <w:bCs w:val="0"/>
                <w:lang w:val="en-US" w:eastAsia="zh-CN"/>
              </w:rPr>
              <w:t>C</w:t>
            </w:r>
          </w:p>
          <w:p>
            <w:pPr>
              <w:pStyle w:val="3"/>
              <w:keepNext w:val="0"/>
              <w:keepLines w:val="0"/>
              <w:pageBreakBefore w:val="0"/>
              <w:widowControl w:val="0"/>
              <w:kinsoku/>
              <w:wordWrap/>
              <w:overflowPunct/>
              <w:topLinePunct w:val="0"/>
              <w:autoSpaceDE/>
              <w:autoSpaceDN/>
              <w:bidi w:val="0"/>
              <w:adjustRightInd/>
              <w:snapToGrid/>
              <w:spacing w:before="0"/>
              <w:ind w:left="0" w:firstLine="0"/>
              <w:jc w:val="center"/>
              <w:textAlignment w:val="auto"/>
              <w:rPr>
                <w:b w:val="0"/>
                <w:bCs w:val="0"/>
                <w:lang w:eastAsia="zh-CN"/>
              </w:rPr>
            </w:pPr>
            <w:r>
              <w:rPr>
                <w:rFonts w:hint="eastAsia"/>
                <w:b w:val="0"/>
                <w:bCs w:val="0"/>
                <w:lang w:eastAsia="zh-CN"/>
              </w:rPr>
              <w:t>（</w:t>
            </w:r>
            <w:r>
              <w:rPr>
                <w:rFonts w:hint="eastAsia"/>
                <w:b w:val="0"/>
                <w:bCs w:val="0"/>
                <w:lang w:val="en-US" w:eastAsia="zh-CN"/>
              </w:rPr>
              <w:t>规范</w:t>
            </w:r>
            <w:r>
              <w:rPr>
                <w:rFonts w:hint="eastAsia"/>
                <w:b w:val="0"/>
                <w:bCs w:val="0"/>
                <w:lang w:eastAsia="zh-CN"/>
              </w:rPr>
              <w:t>性附录）</w:t>
            </w:r>
          </w:p>
          <w:p>
            <w:pPr>
              <w:pStyle w:val="3"/>
              <w:keepNext w:val="0"/>
              <w:keepLines w:val="0"/>
              <w:pageBreakBefore w:val="0"/>
              <w:widowControl w:val="0"/>
              <w:kinsoku/>
              <w:wordWrap/>
              <w:overflowPunct/>
              <w:topLinePunct w:val="0"/>
              <w:autoSpaceDE/>
              <w:autoSpaceDN/>
              <w:bidi w:val="0"/>
              <w:adjustRightInd/>
              <w:snapToGrid/>
              <w:spacing w:before="0"/>
              <w:ind w:left="0" w:firstLine="0"/>
              <w:jc w:val="center"/>
              <w:textAlignment w:val="auto"/>
              <w:rPr>
                <w:rFonts w:hint="eastAsia" w:ascii="宋体" w:hAnsi="宋体" w:eastAsia="宋体" w:cs="宋体"/>
                <w:b/>
                <w:bCs/>
                <w:i w:val="0"/>
                <w:iCs w:val="0"/>
                <w:color w:val="000000"/>
                <w:kern w:val="0"/>
                <w:sz w:val="32"/>
                <w:szCs w:val="32"/>
                <w:u w:val="none"/>
                <w:lang w:val="en-US" w:eastAsia="zh-CN" w:bidi="ar"/>
              </w:rPr>
            </w:pPr>
            <w:r>
              <w:rPr>
                <w:rFonts w:hint="eastAsia"/>
                <w:b w:val="0"/>
                <w:bCs w:val="0"/>
                <w:lang w:eastAsia="zh-CN"/>
              </w:rPr>
              <w:t>土壤污染防治成效综合评估指标与评分方法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评价指标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分值分配</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评分标准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计分结果</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一</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土壤污染防治政策制度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10分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政策制定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[5分]截至评估年，地方已将土壤污染防治工作纳入国民经济和社会发展规划、环境保护规划；</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[0分]截至评估年</w:t>
            </w:r>
            <w:r>
              <w:rPr>
                <w:rFonts w:hint="eastAsia" w:ascii="仿宋_GB2312" w:hAnsi="宋体" w:eastAsia="仿宋_GB2312" w:cs="仿宋_GB2312"/>
                <w:i w:val="0"/>
                <w:iCs w:val="0"/>
                <w:color w:val="000000"/>
                <w:kern w:val="0"/>
                <w:sz w:val="21"/>
                <w:szCs w:val="21"/>
                <w:highlight w:val="none"/>
                <w:u w:val="none"/>
                <w:lang w:val="en-US" w:eastAsia="zh-CN" w:bidi="ar"/>
              </w:rPr>
              <w:t>，地方未</w:t>
            </w:r>
            <w:r>
              <w:rPr>
                <w:rFonts w:hint="eastAsia" w:ascii="仿宋_GB2312" w:hAnsi="宋体" w:eastAsia="仿宋_GB2312" w:cs="仿宋_GB2312"/>
                <w:i w:val="0"/>
                <w:iCs w:val="0"/>
                <w:color w:val="000000"/>
                <w:kern w:val="0"/>
                <w:sz w:val="21"/>
                <w:szCs w:val="21"/>
                <w:u w:val="none"/>
                <w:lang w:val="en-US" w:eastAsia="zh-CN" w:bidi="ar"/>
              </w:rPr>
              <w:t>将土壤污染防治工作纳入国民经济和社会发展规划、环境保护规划</w:t>
            </w:r>
            <w:r>
              <w:rPr>
                <w:rFonts w:hint="eastAsia" w:ascii="仿宋_GB2312" w:hAnsi="宋体" w:eastAsia="仿宋_GB2312" w:cs="仿宋_GB2312"/>
                <w:i w:val="0"/>
                <w:iCs w:val="0"/>
                <w:color w:val="000000"/>
                <w:kern w:val="0"/>
                <w:sz w:val="21"/>
                <w:szCs w:val="21"/>
                <w:highlight w:val="none"/>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ascii="仿宋_GB2312" w:hAnsi="宋体" w:eastAsia="仿宋_GB2312" w:cs="仿宋_GB2312"/>
                <w:b/>
                <w:bCs/>
                <w:i w:val="0"/>
                <w:iCs w:val="0"/>
                <w:color w:val="000000"/>
                <w:sz w:val="22"/>
                <w:szCs w:val="22"/>
                <w:highlight w:val="yellow"/>
                <w:u w:val="none"/>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[5分]截至评估年，地方已印发土壤污染防治相关政策或方案；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highlight w:val="none"/>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[2分]截至评估年，</w:t>
            </w:r>
            <w:r>
              <w:rPr>
                <w:rFonts w:hint="eastAsia" w:ascii="仿宋_GB2312" w:hAnsi="宋体" w:eastAsia="仿宋_GB2312" w:cs="仿宋_GB2312"/>
                <w:i w:val="0"/>
                <w:iCs w:val="0"/>
                <w:color w:val="000000"/>
                <w:kern w:val="0"/>
                <w:sz w:val="21"/>
                <w:szCs w:val="21"/>
                <w:highlight w:val="none"/>
                <w:u w:val="none"/>
                <w:lang w:val="en-US" w:eastAsia="zh-CN" w:bidi="ar"/>
              </w:rPr>
              <w:t>地方未完整印发土壤污染防治相关政策或方案；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rPr>
            </w:pPr>
            <w:r>
              <w:rPr>
                <w:rFonts w:hint="eastAsia" w:ascii="仿宋_GB2312" w:hAnsi="宋体" w:eastAsia="仿宋_GB2312" w:cs="仿宋_GB2312"/>
                <w:i w:val="0"/>
                <w:iCs w:val="0"/>
                <w:color w:val="000000"/>
                <w:kern w:val="0"/>
                <w:sz w:val="21"/>
                <w:szCs w:val="21"/>
                <w:u w:val="none"/>
                <w:lang w:val="en-US" w:eastAsia="zh-CN" w:bidi="ar"/>
              </w:rPr>
              <w:t>[0分]截至评估年，地方未印发相关政策或方案。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highlight w:val="yellow"/>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建设用地土壤环境管理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37分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auto"/>
                <w:kern w:val="0"/>
                <w:sz w:val="21"/>
                <w:szCs w:val="21"/>
                <w:u w:val="none"/>
                <w:lang w:val="en-US" w:eastAsia="zh-CN" w:bidi="ar"/>
              </w:rPr>
              <w:t>土壤污染重点单位监管</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分]土壤污染重点监管单位应落实以下要求：1.严格控制有毒有害物质排放，按年度向生态环境主管部门报告排放情况；2.建立土壤污染隐患排查制度，持续有效防止有毒有害物质渗漏、流失、扬散；3.制定自行监测方案，每年对其用地进行土壤环境自行监测一次，结果向社会公开，并将监测数据报生态环境主管部门；4.拆除设施、设备或者建筑物、构筑物的，制定包括应急措施在内的土壤污染防治工作方案,并报地方人民政府生态环境、工业和信息化主管部门备案；5.生产经营用地用途发生变更或者在土地使用权收回、转让前，由土地使用权人按照规定进行土壤污染状况调查，调查报告报地方人民政府生态环境主管部门备案。辖区内任何一家重点监管单位存在以上一项或多项问题的，按比例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2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建设用地准入管理</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[5分]对行政区内建设用地组织开展排查工作，发现未按照《土壤污染防治法》《污染地块土壤环境管理办法》将地块纳入地块管理系统的，按比例扣分；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[3分]对纳入地块管理系统的，未对土地使用权人开展土壤污染状况调查等工作落实监督管理责任的，按比例扣分。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[3分]根据建设用地土壤污染风险管控和修复名录，制定风险管控和修复年度计划，并督促相关责任主体编制污染地块环境风险管控方案并实施的得3分，否则按照任务落实情况扣分。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rPr>
              <w:t>建设用地地块监测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对曾用于生产、使用、贮存、回收、处置有毒有害物质地块，曾用于固体废物堆放、填埋地块，曾发生过重大、特大污染事故地块，国务院生态环境、自然资源主管部门规定的其他情形等地块开展重点监测工作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防范建设用地新增污染</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[2分]可能造成土壤污染的新（改、扩）建设项目落实土壤污染防治设施“三同时”情况的得2分，否则按照任务落实情况扣分。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搬迁改造企业落实土壤环境管理要求情况</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城镇人口密集区危险化学品生产搬迁改造企业，以及拆除设施、设备或者建筑物、构筑物的重点监管单位制定包括应急措施在内的土壤污染防治工作方案，并向生态环境、工信部门备案。按要求落实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企业事业单位拆除活动污染防治</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[2分]企业事业单位拆除设施、设备或者建筑物、构筑物的，采取相应的土壤污染防治措施的得2分，否则按照落实情况扣分。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2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土壤污染治理与修复项目</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[1分]土壤污染防治项目储备情况，包括修复总体规划、前期调查监测、计划实施项目、现有实施项目（各级资金支持）进展情况等。按照计划实施并完成的得1分，否则按照任务落实情况扣分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[1分]地方政府安排资金用于土壤污染防治情况，以及争取中省资金开展土壤污染防治工作。经费使用合规的得1分，否则按照落实情况扣分。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分]土壤污染防治项目规范化管理情况（治理修复活动包括土壤污染状况调查、土壤污染风险评估、风险管控、修复、风险管控效果评估、修复效果评估、后期管理等）。文件全面完整，管理规范，日常监察工作记录内容完整、合理的得1分，否则按照实际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农用地土壤环境管理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优先保护类耕地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[5分]落实优先保护类耕地严格保护措施的得5分，否则不得分。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安全利用类农用地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[5分]对安全利用类农用地地块制定并实施安全利用方案，完成受污染耕地安全利用面积年度任务、治理与修复面积年度任务的得5分，否则按照任务落实情况扣分。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严格管控类农用地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[5分]落实严格管控类农用地地块风险管控措施的得5分，否则按照任务落实情况扣分。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农用地地块监测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[2分]对</w:t>
            </w:r>
            <w:r>
              <w:rPr>
                <w:rFonts w:hint="default" w:ascii="仿宋_GB2312" w:hAnsi="宋体" w:eastAsia="仿宋_GB2312" w:cs="仿宋_GB2312"/>
                <w:i w:val="0"/>
                <w:iCs w:val="0"/>
                <w:color w:val="000000"/>
                <w:kern w:val="0"/>
                <w:sz w:val="21"/>
                <w:szCs w:val="21"/>
                <w:u w:val="none"/>
                <w:lang w:val="en-US" w:eastAsia="zh-CN" w:bidi="ar"/>
              </w:rPr>
              <w:t>产出农产品污染物含量超标</w:t>
            </w:r>
            <w:r>
              <w:rPr>
                <w:rFonts w:hint="eastAsia" w:ascii="仿宋_GB2312" w:hAnsi="宋体" w:eastAsia="仿宋_GB2312" w:cs="仿宋_GB2312"/>
                <w:i w:val="0"/>
                <w:iCs w:val="0"/>
                <w:color w:val="000000"/>
                <w:kern w:val="0"/>
                <w:sz w:val="21"/>
                <w:szCs w:val="21"/>
                <w:u w:val="none"/>
                <w:lang w:val="en-US" w:eastAsia="zh-CN" w:bidi="ar"/>
              </w:rPr>
              <w:t>地块，</w:t>
            </w:r>
            <w:r>
              <w:rPr>
                <w:rFonts w:hint="default" w:ascii="仿宋_GB2312" w:hAnsi="宋体" w:eastAsia="仿宋_GB2312" w:cs="仿宋_GB2312"/>
                <w:i w:val="0"/>
                <w:iCs w:val="0"/>
                <w:color w:val="000000"/>
                <w:kern w:val="0"/>
                <w:sz w:val="21"/>
                <w:szCs w:val="21"/>
                <w:u w:val="none"/>
                <w:lang w:val="en-US" w:eastAsia="zh-CN" w:bidi="ar"/>
              </w:rPr>
              <w:t>作为或者曾作为污水灌溉区</w:t>
            </w:r>
            <w:r>
              <w:rPr>
                <w:rFonts w:hint="eastAsia" w:ascii="仿宋_GB2312" w:hAnsi="宋体" w:eastAsia="仿宋_GB2312" w:cs="仿宋_GB2312"/>
                <w:i w:val="0"/>
                <w:iCs w:val="0"/>
                <w:color w:val="000000"/>
                <w:kern w:val="0"/>
                <w:sz w:val="21"/>
                <w:szCs w:val="21"/>
                <w:u w:val="none"/>
                <w:lang w:val="en-US" w:eastAsia="zh-CN" w:bidi="ar"/>
              </w:rPr>
              <w:t>地块，</w:t>
            </w:r>
            <w:r>
              <w:rPr>
                <w:rFonts w:hint="default" w:ascii="仿宋_GB2312" w:hAnsi="宋体" w:eastAsia="仿宋_GB2312" w:cs="仿宋_GB2312"/>
                <w:i w:val="0"/>
                <w:iCs w:val="0"/>
                <w:color w:val="000000"/>
                <w:kern w:val="0"/>
                <w:sz w:val="21"/>
                <w:szCs w:val="21"/>
                <w:u w:val="none"/>
                <w:lang w:val="en-US" w:eastAsia="zh-CN" w:bidi="ar"/>
              </w:rPr>
              <w:t>用于或者曾用于规模化养殖，固体废物堆放、填埋</w:t>
            </w:r>
            <w:r>
              <w:rPr>
                <w:rFonts w:hint="eastAsia" w:ascii="仿宋_GB2312" w:hAnsi="宋体" w:eastAsia="仿宋_GB2312" w:cs="仿宋_GB2312"/>
                <w:i w:val="0"/>
                <w:iCs w:val="0"/>
                <w:color w:val="000000"/>
                <w:kern w:val="0"/>
                <w:sz w:val="21"/>
                <w:szCs w:val="21"/>
                <w:u w:val="none"/>
                <w:lang w:val="en-US" w:eastAsia="zh-CN" w:bidi="ar"/>
              </w:rPr>
              <w:t>地块，</w:t>
            </w:r>
            <w:r>
              <w:rPr>
                <w:rFonts w:hint="default" w:ascii="仿宋_GB2312" w:hAnsi="宋体" w:eastAsia="仿宋_GB2312" w:cs="仿宋_GB2312"/>
                <w:i w:val="0"/>
                <w:iCs w:val="0"/>
                <w:color w:val="000000"/>
                <w:kern w:val="0"/>
                <w:sz w:val="21"/>
                <w:szCs w:val="21"/>
                <w:u w:val="none"/>
                <w:lang w:val="en-US" w:eastAsia="zh-CN" w:bidi="ar"/>
              </w:rPr>
              <w:t>曾作为工矿用地或者发生过重大、特大污染事故</w:t>
            </w:r>
            <w:r>
              <w:rPr>
                <w:rFonts w:hint="eastAsia" w:ascii="仿宋_GB2312" w:hAnsi="宋体" w:eastAsia="仿宋_GB2312" w:cs="仿宋_GB2312"/>
                <w:i w:val="0"/>
                <w:iCs w:val="0"/>
                <w:color w:val="000000"/>
                <w:kern w:val="0"/>
                <w:sz w:val="21"/>
                <w:szCs w:val="21"/>
                <w:u w:val="none"/>
                <w:lang w:val="en-US" w:eastAsia="zh-CN" w:bidi="ar"/>
              </w:rPr>
              <w:t>地块，</w:t>
            </w:r>
            <w:r>
              <w:rPr>
                <w:rFonts w:hint="default" w:ascii="仿宋_GB2312" w:hAnsi="宋体" w:eastAsia="仿宋_GB2312" w:cs="仿宋_GB2312"/>
                <w:i w:val="0"/>
                <w:iCs w:val="0"/>
                <w:color w:val="000000"/>
                <w:kern w:val="0"/>
                <w:sz w:val="21"/>
                <w:szCs w:val="21"/>
                <w:u w:val="none"/>
                <w:lang w:val="en-US" w:eastAsia="zh-CN" w:bidi="ar"/>
              </w:rPr>
              <w:t>有毒有害物质生产、贮存、利用、处置设施周边</w:t>
            </w:r>
            <w:r>
              <w:rPr>
                <w:rFonts w:hint="eastAsia" w:ascii="仿宋_GB2312" w:hAnsi="宋体" w:eastAsia="仿宋_GB2312" w:cs="仿宋_GB2312"/>
                <w:i w:val="0"/>
                <w:iCs w:val="0"/>
                <w:color w:val="000000"/>
                <w:kern w:val="0"/>
                <w:sz w:val="21"/>
                <w:szCs w:val="21"/>
                <w:u w:val="none"/>
                <w:lang w:val="en-US" w:eastAsia="zh-CN" w:bidi="ar"/>
              </w:rPr>
              <w:t>地块，</w:t>
            </w:r>
            <w:r>
              <w:rPr>
                <w:rFonts w:hint="default" w:ascii="仿宋_GB2312" w:hAnsi="宋体" w:eastAsia="仿宋_GB2312" w:cs="仿宋_GB2312"/>
                <w:i w:val="0"/>
                <w:iCs w:val="0"/>
                <w:color w:val="000000"/>
                <w:kern w:val="0"/>
                <w:sz w:val="21"/>
                <w:szCs w:val="21"/>
                <w:u w:val="none"/>
                <w:lang w:val="en-US" w:eastAsia="zh-CN" w:bidi="ar"/>
              </w:rPr>
              <w:t>国务院农业农村、林业草原、生态环境、自然资源主管部门规定的其他情形</w:t>
            </w:r>
            <w:r>
              <w:rPr>
                <w:rFonts w:hint="eastAsia" w:ascii="仿宋_GB2312" w:hAnsi="宋体" w:eastAsia="仿宋_GB2312" w:cs="仿宋_GB2312"/>
                <w:i w:val="0"/>
                <w:iCs w:val="0"/>
                <w:color w:val="000000"/>
                <w:kern w:val="0"/>
                <w:sz w:val="21"/>
                <w:szCs w:val="21"/>
                <w:u w:val="none"/>
                <w:lang w:val="en-US" w:eastAsia="zh-CN" w:bidi="ar"/>
              </w:rPr>
              <w:t>等地块开展重点监测工作的得2分，否则按照任务落实情况扣分。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13</w:t>
            </w:r>
          </w:p>
        </w:tc>
        <w:tc>
          <w:tcPr>
            <w:tcW w:w="2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auto"/>
                <w:kern w:val="0"/>
                <w:sz w:val="21"/>
                <w:szCs w:val="21"/>
                <w:u w:val="none"/>
                <w:lang w:val="en-US" w:eastAsia="zh-CN" w:bidi="ar"/>
              </w:rPr>
              <w:t>其他</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[2分]对未利用地、复垦土地开垦为耕地的地块，开展土壤污染状况调查及分类管理等工作的得2分，否则不得分。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FF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[2分]开展耕地土壤环境质量类别动态调整相关工作得2分，否则不得分。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FF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[2分]开对土壤污染状况普查、详查和监测、现场检查表明有土壤污染风险的农用地地块，开展土壤污染状况调查开展情况工作的得2分，否则按照任务落实情况扣分。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FF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[2分]对安全利用类和严格管控类农用地地块的土壤污染影响或者可能影响地下水、饮用水水源安全的，制定污染防治方案并落实的得2分，否则按照任务落实情况扣分。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b/>
                <w:bCs/>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四</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土壤污染源头预防</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21分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14</w:t>
            </w:r>
          </w:p>
        </w:tc>
        <w:tc>
          <w:tcPr>
            <w:tcW w:w="2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highlight w:val="none"/>
                <w:u w:val="none"/>
                <w:lang w:val="en-US" w:eastAsia="zh-CN" w:bidi="ar"/>
              </w:rPr>
              <w:t>重金属污染防控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highlight w:val="none"/>
                <w:u w:val="none"/>
                <w:lang w:val="en-US" w:eastAsia="zh-CN" w:bidi="ar"/>
              </w:rPr>
              <w:t>[3分]完成重点区域重金属减排、重点行业重金属污染综合治理任务的得3分，否则不得分。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[3分]在矿产资源开发利用活动集中区域落实重点污染物特别排放限值要求的得2分，否则不得分；强化尾矿库日常监督管理和定期评估，做好尾矿库风险排查管控工作，防范环境污染风险的得1分，否则不得分。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15</w:t>
            </w:r>
          </w:p>
        </w:tc>
        <w:tc>
          <w:tcPr>
            <w:tcW w:w="2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rPr>
              <w:t>农业农村污染</w:t>
            </w:r>
            <w:r>
              <w:rPr>
                <w:rFonts w:hint="eastAsia" w:ascii="仿宋_GB2312" w:hAnsi="宋体" w:eastAsia="仿宋_GB2312" w:cs="仿宋_GB2312"/>
                <w:i w:val="0"/>
                <w:iCs w:val="0"/>
                <w:color w:val="000000"/>
                <w:sz w:val="21"/>
                <w:szCs w:val="21"/>
                <w:u w:val="none"/>
                <w:lang w:val="en-US" w:eastAsia="zh-CN"/>
              </w:rPr>
              <w:t>防治</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[3分]定期对污水集中处理设施、固体废物处置设施周边土壤进行监测，并根据监测结果，要求污水集中处理设施、固体废物处置设施运营单位采取相应改进措施的得3分，否则不得分。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FF0000"/>
                <w:sz w:val="21"/>
                <w:szCs w:val="21"/>
                <w:u w:val="none"/>
              </w:rPr>
            </w:pPr>
            <w:r>
              <w:rPr>
                <w:rFonts w:hint="eastAsia" w:ascii="仿宋_GB2312" w:hAnsi="宋体" w:eastAsia="仿宋_GB2312" w:cs="仿宋_GB2312"/>
                <w:i w:val="0"/>
                <w:iCs w:val="0"/>
                <w:color w:val="auto"/>
                <w:kern w:val="0"/>
                <w:sz w:val="21"/>
                <w:szCs w:val="21"/>
                <w:u w:val="none"/>
                <w:lang w:val="en-US" w:eastAsia="zh-CN" w:bidi="ar"/>
              </w:rPr>
              <w:t>[3分]推广化肥农药减量增效，化肥农药使用量保持零增长，三大粮食作物化肥和农药利用率分别提高三个百分点的得3分，否则按照任务落实情况扣分。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[3分]开展灌溉水水质定期监测和评价，落实计划要求的得3分，否则按照任务完成情况扣分。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[2分]开展废弃农膜回收和秸秆综合利用相关工作的得2分，否则按照任务完成情况扣分。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[2分]开展畜禽粪便、沼渣、沼液等收集、贮存、利用、处置相关工作，落实监督管理责任的得2分，否则按照任务完成情况扣分。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16</w:t>
            </w:r>
          </w:p>
        </w:tc>
        <w:tc>
          <w:tcPr>
            <w:tcW w:w="233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未污染土地和未利用地保护</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[2分]对未污染的耕地、林地、草地和饮用水水源地，国家公园等自然保护地，以及未利用地实施重点保护的得2分，否则按照任务完成情况扣分。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五</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其他</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7分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b/>
                <w:bCs/>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w:t>
            </w:r>
          </w:p>
        </w:tc>
        <w:tc>
          <w:tcPr>
            <w:tcW w:w="2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土壤污染防治相关能力建设情况</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[1分]截至评估年，地方配备专门土壤污染防治管理人员、相关监测仪器设备和现场执法装备的得1分，否则按照任务落实情况扣分。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2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[1分]截至评估年，地方相关部门按要求建立了土壤污染防治相关平台的得1分，否则按照任务落实情况扣分。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18</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多部门联动监管情况</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[2分]截至评估年，地方形成多部门土壤污染防治信息共享机制和工作协调机制的得2分，否则按照任务落实情况扣分。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19</w:t>
            </w:r>
          </w:p>
        </w:tc>
        <w:tc>
          <w:tcPr>
            <w:tcW w:w="2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土壤污染防治宣贯教育</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3分</w:t>
            </w: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分]各县（市、区）人民政府主要领导干部、分管生态环境工作的领导干部带头宣传法规政策、在党政领导干部培训班或深入基层开展土壤污染防治等生态环境保护专题讲座的得1.5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000000"/>
                <w:sz w:val="21"/>
                <w:szCs w:val="21"/>
                <w:u w:val="none"/>
              </w:rPr>
            </w:pPr>
          </w:p>
        </w:tc>
        <w:tc>
          <w:tcPr>
            <w:tcW w:w="2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1"/>
                <w:szCs w:val="21"/>
                <w:u w:val="none"/>
              </w:rPr>
            </w:pPr>
          </w:p>
        </w:tc>
        <w:tc>
          <w:tcPr>
            <w:tcW w:w="8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[1.5分]各县（市、区）人民政府及相关部门将土壤污染防治培训纳入党政领导干部培训，并开展了各种不同形式土壤环境宣传教育的得1.5分，否则按照任务落实情况扣分。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宋体" w:eastAsia="仿宋_GB2312" w:cs="仿宋_GB2312"/>
                <w:i w:val="0"/>
                <w:iCs w:val="0"/>
                <w:color w:val="000000"/>
                <w:sz w:val="22"/>
                <w:szCs w:val="22"/>
                <w:u w:val="none"/>
              </w:rPr>
            </w:pPr>
          </w:p>
        </w:tc>
      </w:tr>
    </w:tbl>
    <w:p>
      <w:pPr>
        <w:pStyle w:val="6"/>
        <w:keepNext w:val="0"/>
        <w:keepLines w:val="0"/>
        <w:pageBreakBefore w:val="0"/>
        <w:widowControl w:val="0"/>
        <w:kinsoku/>
        <w:wordWrap/>
        <w:overflowPunct/>
        <w:topLinePunct w:val="0"/>
        <w:autoSpaceDE w:val="0"/>
        <w:autoSpaceDN w:val="0"/>
        <w:bidi w:val="0"/>
        <w:adjustRightInd/>
        <w:snapToGrid/>
        <w:spacing w:before="40" w:line="279" w:lineRule="auto"/>
        <w:ind w:right="0" w:firstLine="420" w:firstLineChars="200"/>
        <w:jc w:val="both"/>
        <w:textAlignment w:val="auto"/>
        <w:rPr>
          <w:rFonts w:hint="eastAsia"/>
          <w:b w:val="0"/>
          <w:bCs w:val="0"/>
          <w:lang w:eastAsia="zh-CN"/>
        </w:rPr>
        <w:sectPr>
          <w:pgSz w:w="16840" w:h="11910" w:orient="landscape"/>
          <w:pgMar w:top="1300" w:right="1640" w:bottom="920" w:left="1040" w:header="1420" w:footer="853" w:gutter="0"/>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40" w:line="279" w:lineRule="auto"/>
        <w:ind w:right="0" w:firstLine="420" w:firstLineChars="200"/>
        <w:jc w:val="both"/>
        <w:textAlignment w:val="auto"/>
        <w:rPr>
          <w:rFonts w:hint="eastAsia"/>
          <w:b w:val="0"/>
          <w:bCs w:val="0"/>
          <w:lang w:eastAsia="zh-CN"/>
        </w:rPr>
      </w:pPr>
    </w:p>
    <w:sectPr>
      <w:pgSz w:w="11910" w:h="16840"/>
      <w:pgMar w:top="1640" w:right="920" w:bottom="1040" w:left="1300" w:header="1420" w:footer="85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07950" cy="1524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2pt;width:8.5pt;mso-position-horizontal:inside;mso-position-horizontal-relative:margin;z-index:251664384;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vNfvTAAAAAwEAAA8AAAAAAAAAAQAgAAAAIgAAAGRycy9kb3ducmV2LnhtbFBLAQIUABQAAAAI&#10;AIdO4kC3seleuQEAAHEDAAAOAAAAAAAAAAEAIAAAACIBAABkcnMvZTJvRG9jLnhtbFBLBQYAAAAA&#10;BgAGAFkBAABN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6758940</wp:posOffset>
              </wp:positionH>
              <wp:positionV relativeFrom="page">
                <wp:posOffset>10010775</wp:posOffset>
              </wp:positionV>
              <wp:extent cx="107950"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532.2pt;margin-top:788.25pt;height:12pt;width:8.5pt;mso-position-horizontal-relative:page;mso-position-vertical-relative:page;z-index:-251653120;mso-width-relative:page;mso-height-relative:page;" filled="f" stroked="f" coordsize="21600,21600" o:gfxdata="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Qd5t9oAAAAPAQAADwAAAAAAAAABACAAAAAiAAAAZHJzL2Rvd25yZXYueG1s&#10;UEsBAhQAFAAAAAgAh07iQFGVr669AQAAfwMAAA4AAAAAAAAAAQAgAAAAKQ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7950" cy="1524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5" o:spid="_x0000_s1026" o:spt="202" type="#_x0000_t202" style="position:absolute;left:0pt;margin-top:0pt;height:12pt;width:8.5pt;mso-position-horizontal:outside;mso-position-horizontal-relative:margin;z-index:251660288;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e81+9MAAAADAQAADwAAAAAAAAABACAAAAAiAAAAZHJzL2Rvd25yZXYueG1sUEsBAhQAFAAA&#10;AAgAh07iQBjP5rW7AQAAcgMAAA4AAAAAAAAAAQAgAAAAIgEAAGRycy9lMm9Eb2MueG1sUEsFBgAA&#10;AAAGAAYAWQEAAE8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5659120</wp:posOffset>
              </wp:positionH>
              <wp:positionV relativeFrom="page">
                <wp:posOffset>888365</wp:posOffset>
              </wp:positionV>
              <wp:extent cx="1196975" cy="17399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196975" cy="173990"/>
                      </a:xfrm>
                      <a:prstGeom prst="rect">
                        <a:avLst/>
                      </a:prstGeom>
                      <a:noFill/>
                      <a:ln>
                        <a:noFill/>
                      </a:ln>
                      <a:effectLst/>
                    </wps:spPr>
                    <wps:txbx>
                      <w:txbxContent>
                        <w:p>
                          <w:pPr>
                            <w:pStyle w:val="6"/>
                            <w:spacing w:before="12"/>
                            <w:ind w:left="20"/>
                            <w:rPr>
                              <w:rFonts w:ascii="Times New Roman"/>
                            </w:rPr>
                          </w:pPr>
                          <w:r>
                            <w:rPr>
                              <w:rFonts w:ascii="Times New Roman"/>
                            </w:rPr>
                            <w:t>DB61/XXXX-XXXX</w:t>
                          </w:r>
                        </w:p>
                      </w:txbxContent>
                    </wps:txbx>
                    <wps:bodyPr lIns="0" tIns="0" rIns="0" bIns="0" upright="1"/>
                  </wps:wsp>
                </a:graphicData>
              </a:graphic>
            </wp:anchor>
          </w:drawing>
        </mc:Choice>
        <mc:Fallback>
          <w:pict>
            <v:shape id="文本框 2" o:spid="_x0000_s1026" o:spt="202" type="#_x0000_t202" style="position:absolute;left:0pt;margin-left:445.6pt;margin-top:69.95pt;height:13.7pt;width:94.25pt;mso-position-horizontal-relative:page;mso-position-vertical-relative:page;z-index:-251654144;mso-width-relative:page;mso-height-relative:page;" filled="f" stroked="f" coordsize="21600,21600" o:gfxdata="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dKi2gAAAAwBAAAPAAAAAAAAAAEAIAAAACIAAABkcnMvZG93bnJldi54&#10;bWxQSwECFAAUAAAACACHTuJATU3Zyb8BAACAAwAADgAAAAAAAAABACAAAAApAQAAZHJzL2Uyb0Rv&#10;Yy54bWxQSwUGAAAAAAYABgBZAQAAWgUAAAAA&#10;">
              <v:fill on="f" focussize="0,0"/>
              <v:stroke on="f"/>
              <v:imagedata o:title=""/>
              <o:lock v:ext="edit" aspectratio="f"/>
              <v:textbox inset="0mm,0mm,0mm,0mm">
                <w:txbxContent>
                  <w:p>
                    <w:pPr>
                      <w:pStyle w:val="6"/>
                      <w:spacing w:before="12"/>
                      <w:ind w:left="20"/>
                      <w:rPr>
                        <w:rFonts w:ascii="Times New Roman"/>
                      </w:rPr>
                    </w:pPr>
                    <w:r>
                      <w:rPr>
                        <w:rFonts w:ascii="Times New Roman"/>
                      </w:rPr>
                      <w:t>DB61/XXXX-XXXX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5823585</wp:posOffset>
              </wp:positionH>
              <wp:positionV relativeFrom="page">
                <wp:posOffset>888365</wp:posOffset>
              </wp:positionV>
              <wp:extent cx="1004570" cy="17399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04570" cy="173990"/>
                      </a:xfrm>
                      <a:prstGeom prst="rect">
                        <a:avLst/>
                      </a:prstGeom>
                      <a:noFill/>
                      <a:ln>
                        <a:noFill/>
                      </a:ln>
                      <a:effectLst/>
                    </wps:spPr>
                    <wps:txbx>
                      <w:txbxContent>
                        <w:p>
                          <w:pPr>
                            <w:pStyle w:val="6"/>
                            <w:spacing w:before="12"/>
                            <w:ind w:left="20"/>
                            <w:rPr>
                              <w:rFonts w:ascii="Times New Roman"/>
                            </w:rPr>
                          </w:pPr>
                          <w:r>
                            <w:rPr>
                              <w:rFonts w:ascii="Times New Roman"/>
                            </w:rPr>
                            <w:t>DB61/XXX-XXX</w:t>
                          </w:r>
                        </w:p>
                      </w:txbxContent>
                    </wps:txbx>
                    <wps:bodyPr lIns="0" tIns="0" rIns="0" bIns="0" upright="1"/>
                  </wps:wsp>
                </a:graphicData>
              </a:graphic>
            </wp:anchor>
          </w:drawing>
        </mc:Choice>
        <mc:Fallback>
          <w:pict>
            <v:shape id="文本框 1" o:spid="_x0000_s1026" o:spt="202" type="#_x0000_t202" style="position:absolute;left:0pt;margin-left:458.55pt;margin-top:69.95pt;height:13.7pt;width:79.1pt;mso-position-horizontal-relative:page;mso-position-vertical-relative:page;z-index:-251655168;mso-width-relative:page;mso-height-relative:page;" filled="f" stroked="f" coordsize="21600,21600" o:gfxdata="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lU5O2gAAAAwBAAAPAAAAAAAAAAEAIAAAACIAAABkcnMvZG93bnJldi54&#10;bWxQSwECFAAUAAAACACHTuJAiVx6KL8BAACAAwAADgAAAAAAAAABACAAAAApAQAAZHJzL2Uyb0Rv&#10;Yy54bWxQSwUGAAAAAAYABgBZAQAAWgUAAAAA&#10;">
              <v:fill on="f" focussize="0,0"/>
              <v:stroke on="f"/>
              <v:imagedata o:title=""/>
              <o:lock v:ext="edit" aspectratio="f"/>
              <v:textbox inset="0mm,0mm,0mm,0mm">
                <w:txbxContent>
                  <w:p>
                    <w:pPr>
                      <w:pStyle w:val="6"/>
                      <w:spacing w:before="12"/>
                      <w:ind w:left="20"/>
                      <w:rPr>
                        <w:rFonts w:ascii="Times New Roman"/>
                      </w:rPr>
                    </w:pPr>
                    <w:r>
                      <w:rPr>
                        <w:rFonts w:ascii="Times New Roman"/>
                      </w:rPr>
                      <w:t>DB61/XXX-XXX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hint="eastAsia"/>
      </w:rPr>
    </w:pPr>
    <w:r>
      <w:t>DB</w:t>
    </w:r>
    <w:r>
      <w:rPr>
        <w:rFonts w:hint="eastAsia"/>
      </w:rPr>
      <w:t>61</w:t>
    </w:r>
    <w:r>
      <w:t>/</w:t>
    </w:r>
    <w:r>
      <w:rPr>
        <w:rFonts w:hint="eastAsia"/>
      </w:rPr>
      <w:t>T</w:t>
    </w:r>
    <w:r>
      <w:t xml:space="preserve"> </w:t>
    </w:r>
    <w:r>
      <w:rPr>
        <w:rFonts w:hint="eastAsia"/>
        <w:lang w:val="en-US" w:eastAsia="zh-CN"/>
      </w:rPr>
      <w:t>XXXX</w:t>
    </w:r>
    <w:r>
      <w:t>—</w:t>
    </w:r>
    <w:r>
      <w:rPr>
        <w:rFonts w:hint="eastAsia"/>
      </w:rPr>
      <w:t>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62"/>
    <w:rsid w:val="000954EC"/>
    <w:rsid w:val="0011756A"/>
    <w:rsid w:val="00191F08"/>
    <w:rsid w:val="002F4872"/>
    <w:rsid w:val="0047181E"/>
    <w:rsid w:val="004A5FFA"/>
    <w:rsid w:val="005B0C9F"/>
    <w:rsid w:val="00651122"/>
    <w:rsid w:val="00685FA4"/>
    <w:rsid w:val="006D23B4"/>
    <w:rsid w:val="00A72DFD"/>
    <w:rsid w:val="00C32D62"/>
    <w:rsid w:val="00CC61AC"/>
    <w:rsid w:val="00CF5F9B"/>
    <w:rsid w:val="00E11CDD"/>
    <w:rsid w:val="00E37679"/>
    <w:rsid w:val="00E6474B"/>
    <w:rsid w:val="02981501"/>
    <w:rsid w:val="02AA2716"/>
    <w:rsid w:val="02C85DB3"/>
    <w:rsid w:val="02F51E59"/>
    <w:rsid w:val="0463798C"/>
    <w:rsid w:val="04665D62"/>
    <w:rsid w:val="049D714B"/>
    <w:rsid w:val="05EE70B7"/>
    <w:rsid w:val="05F67A68"/>
    <w:rsid w:val="07056C38"/>
    <w:rsid w:val="07E239E5"/>
    <w:rsid w:val="084A0769"/>
    <w:rsid w:val="09673B64"/>
    <w:rsid w:val="097A2A63"/>
    <w:rsid w:val="0AC53B60"/>
    <w:rsid w:val="0B1D476B"/>
    <w:rsid w:val="0B440C7C"/>
    <w:rsid w:val="0B8164DA"/>
    <w:rsid w:val="0C20749D"/>
    <w:rsid w:val="0C4A6AF3"/>
    <w:rsid w:val="0C6A0855"/>
    <w:rsid w:val="0C9802C2"/>
    <w:rsid w:val="0CA73E8C"/>
    <w:rsid w:val="0CE27860"/>
    <w:rsid w:val="0E1424F4"/>
    <w:rsid w:val="0E1D0EBC"/>
    <w:rsid w:val="0EA301EE"/>
    <w:rsid w:val="0FBF6835"/>
    <w:rsid w:val="119B2B92"/>
    <w:rsid w:val="128A5395"/>
    <w:rsid w:val="12AE43B6"/>
    <w:rsid w:val="14871A9F"/>
    <w:rsid w:val="14CB5086"/>
    <w:rsid w:val="14F04D17"/>
    <w:rsid w:val="14F70ABF"/>
    <w:rsid w:val="15951DCA"/>
    <w:rsid w:val="16D05224"/>
    <w:rsid w:val="177B7306"/>
    <w:rsid w:val="17F435AC"/>
    <w:rsid w:val="18141ED1"/>
    <w:rsid w:val="185A0631"/>
    <w:rsid w:val="18CF4D72"/>
    <w:rsid w:val="1941650B"/>
    <w:rsid w:val="197206C6"/>
    <w:rsid w:val="1AD06219"/>
    <w:rsid w:val="1D0205EE"/>
    <w:rsid w:val="1F124C7E"/>
    <w:rsid w:val="1F393702"/>
    <w:rsid w:val="1F3A70C1"/>
    <w:rsid w:val="1F805D51"/>
    <w:rsid w:val="206F3787"/>
    <w:rsid w:val="213D77EB"/>
    <w:rsid w:val="22943E1F"/>
    <w:rsid w:val="23044CC9"/>
    <w:rsid w:val="23132852"/>
    <w:rsid w:val="23CE51F7"/>
    <w:rsid w:val="24890E09"/>
    <w:rsid w:val="25890ACA"/>
    <w:rsid w:val="25B7674C"/>
    <w:rsid w:val="264D419A"/>
    <w:rsid w:val="2739237A"/>
    <w:rsid w:val="275063FF"/>
    <w:rsid w:val="28143B37"/>
    <w:rsid w:val="29722829"/>
    <w:rsid w:val="299845F6"/>
    <w:rsid w:val="2A415CD7"/>
    <w:rsid w:val="2AC1242C"/>
    <w:rsid w:val="2C891F8A"/>
    <w:rsid w:val="2CA70FD2"/>
    <w:rsid w:val="2CB9521B"/>
    <w:rsid w:val="2D6848AA"/>
    <w:rsid w:val="2DD61650"/>
    <w:rsid w:val="2E6A0F3F"/>
    <w:rsid w:val="2F22196A"/>
    <w:rsid w:val="2F4E5EB3"/>
    <w:rsid w:val="31C80850"/>
    <w:rsid w:val="328950BA"/>
    <w:rsid w:val="339F6F68"/>
    <w:rsid w:val="33E474BF"/>
    <w:rsid w:val="33FA09C3"/>
    <w:rsid w:val="34261209"/>
    <w:rsid w:val="347A257D"/>
    <w:rsid w:val="352D0C69"/>
    <w:rsid w:val="352F5042"/>
    <w:rsid w:val="357C7011"/>
    <w:rsid w:val="364678EF"/>
    <w:rsid w:val="368C650E"/>
    <w:rsid w:val="370B48DC"/>
    <w:rsid w:val="37D31AA9"/>
    <w:rsid w:val="37DE67DD"/>
    <w:rsid w:val="380A4361"/>
    <w:rsid w:val="38145742"/>
    <w:rsid w:val="381C1D9A"/>
    <w:rsid w:val="38EB0FB1"/>
    <w:rsid w:val="39181251"/>
    <w:rsid w:val="39BB2DC1"/>
    <w:rsid w:val="39E82307"/>
    <w:rsid w:val="39FC12AC"/>
    <w:rsid w:val="3AC75D4C"/>
    <w:rsid w:val="3BFA0260"/>
    <w:rsid w:val="3CA326B0"/>
    <w:rsid w:val="3CC76CFB"/>
    <w:rsid w:val="3D155230"/>
    <w:rsid w:val="3D606FD1"/>
    <w:rsid w:val="3D7D1FD3"/>
    <w:rsid w:val="3D884A34"/>
    <w:rsid w:val="3FC8327C"/>
    <w:rsid w:val="3FD31769"/>
    <w:rsid w:val="3FED0B07"/>
    <w:rsid w:val="40FD33B2"/>
    <w:rsid w:val="4109558A"/>
    <w:rsid w:val="41AF4B42"/>
    <w:rsid w:val="41C109A0"/>
    <w:rsid w:val="4239160A"/>
    <w:rsid w:val="42791381"/>
    <w:rsid w:val="42801A2A"/>
    <w:rsid w:val="42972185"/>
    <w:rsid w:val="43861B2F"/>
    <w:rsid w:val="43B641D6"/>
    <w:rsid w:val="43D9142D"/>
    <w:rsid w:val="442552D1"/>
    <w:rsid w:val="452058E0"/>
    <w:rsid w:val="45A22876"/>
    <w:rsid w:val="46674131"/>
    <w:rsid w:val="46D04948"/>
    <w:rsid w:val="471771D8"/>
    <w:rsid w:val="4833002C"/>
    <w:rsid w:val="48DB38AB"/>
    <w:rsid w:val="496A5297"/>
    <w:rsid w:val="498F42E5"/>
    <w:rsid w:val="4A0762CC"/>
    <w:rsid w:val="4A13539A"/>
    <w:rsid w:val="4A344C3B"/>
    <w:rsid w:val="4B4A18ED"/>
    <w:rsid w:val="4BBF6D68"/>
    <w:rsid w:val="4BC54FE8"/>
    <w:rsid w:val="4CBC42A5"/>
    <w:rsid w:val="4CC1009D"/>
    <w:rsid w:val="4CE05383"/>
    <w:rsid w:val="4D800301"/>
    <w:rsid w:val="4DC00615"/>
    <w:rsid w:val="4DE55515"/>
    <w:rsid w:val="4E2A2AAE"/>
    <w:rsid w:val="4E2B668E"/>
    <w:rsid w:val="4EC470A6"/>
    <w:rsid w:val="4ECC31B6"/>
    <w:rsid w:val="4F613C17"/>
    <w:rsid w:val="4F9021CD"/>
    <w:rsid w:val="4FC933EA"/>
    <w:rsid w:val="500142CE"/>
    <w:rsid w:val="5016164E"/>
    <w:rsid w:val="50183784"/>
    <w:rsid w:val="509F52AB"/>
    <w:rsid w:val="50B5234F"/>
    <w:rsid w:val="51461B6F"/>
    <w:rsid w:val="52211D56"/>
    <w:rsid w:val="523F4E29"/>
    <w:rsid w:val="52606D9C"/>
    <w:rsid w:val="52C15113"/>
    <w:rsid w:val="52FB4D7D"/>
    <w:rsid w:val="533D2EEA"/>
    <w:rsid w:val="53E11C4E"/>
    <w:rsid w:val="55CF3CBD"/>
    <w:rsid w:val="57EB145C"/>
    <w:rsid w:val="582F2025"/>
    <w:rsid w:val="599C1FAE"/>
    <w:rsid w:val="59D94E30"/>
    <w:rsid w:val="5A093590"/>
    <w:rsid w:val="5AC375DF"/>
    <w:rsid w:val="5AEC7FEA"/>
    <w:rsid w:val="5B3E74D9"/>
    <w:rsid w:val="5C3074D3"/>
    <w:rsid w:val="5C6074B6"/>
    <w:rsid w:val="5C677A24"/>
    <w:rsid w:val="5CB059F7"/>
    <w:rsid w:val="5CB56E68"/>
    <w:rsid w:val="5CEA02C5"/>
    <w:rsid w:val="5D725617"/>
    <w:rsid w:val="5DEA0F79"/>
    <w:rsid w:val="5FA07B76"/>
    <w:rsid w:val="60144D7A"/>
    <w:rsid w:val="60297130"/>
    <w:rsid w:val="61876253"/>
    <w:rsid w:val="630564C7"/>
    <w:rsid w:val="632E1B6B"/>
    <w:rsid w:val="637D20DA"/>
    <w:rsid w:val="63A26AC7"/>
    <w:rsid w:val="63EC31F6"/>
    <w:rsid w:val="658953EE"/>
    <w:rsid w:val="65D86B27"/>
    <w:rsid w:val="672740D0"/>
    <w:rsid w:val="673D5C21"/>
    <w:rsid w:val="68263BB9"/>
    <w:rsid w:val="68C61AA3"/>
    <w:rsid w:val="68D34F9F"/>
    <w:rsid w:val="69A50E9E"/>
    <w:rsid w:val="69CF0D33"/>
    <w:rsid w:val="6A187B4B"/>
    <w:rsid w:val="6A7E345F"/>
    <w:rsid w:val="6B0B7E01"/>
    <w:rsid w:val="6B523F1F"/>
    <w:rsid w:val="6B5464CE"/>
    <w:rsid w:val="6BA37E62"/>
    <w:rsid w:val="6BC30046"/>
    <w:rsid w:val="6D071B49"/>
    <w:rsid w:val="6D39176F"/>
    <w:rsid w:val="6E2763CE"/>
    <w:rsid w:val="6F802B3E"/>
    <w:rsid w:val="701C3045"/>
    <w:rsid w:val="708B542C"/>
    <w:rsid w:val="714212F0"/>
    <w:rsid w:val="71885D75"/>
    <w:rsid w:val="720A6C58"/>
    <w:rsid w:val="745D1A0D"/>
    <w:rsid w:val="74894B8C"/>
    <w:rsid w:val="75247ACD"/>
    <w:rsid w:val="762C60D9"/>
    <w:rsid w:val="763B2275"/>
    <w:rsid w:val="76D54EF3"/>
    <w:rsid w:val="76F703FA"/>
    <w:rsid w:val="774F0206"/>
    <w:rsid w:val="787366F2"/>
    <w:rsid w:val="79186DAE"/>
    <w:rsid w:val="793A373C"/>
    <w:rsid w:val="79C61328"/>
    <w:rsid w:val="79C61F10"/>
    <w:rsid w:val="7A8F0A07"/>
    <w:rsid w:val="7AEC6D92"/>
    <w:rsid w:val="7B9A662E"/>
    <w:rsid w:val="7CDF6078"/>
    <w:rsid w:val="7D971BFD"/>
    <w:rsid w:val="7DC6222A"/>
    <w:rsid w:val="7E986BC2"/>
    <w:rsid w:val="7F146F10"/>
    <w:rsid w:val="7F780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en-US"/>
    </w:rPr>
  </w:style>
  <w:style w:type="paragraph" w:styleId="3">
    <w:name w:val="heading 1"/>
    <w:basedOn w:val="1"/>
    <w:next w:val="1"/>
    <w:qFormat/>
    <w:uiPriority w:val="1"/>
    <w:pPr>
      <w:spacing w:before="43"/>
      <w:ind w:left="541" w:hanging="424"/>
      <w:outlineLvl w:val="0"/>
    </w:pPr>
    <w:rPr>
      <w:rFonts w:ascii="黑体" w:hAnsi="黑体" w:eastAsia="黑体" w:cs="黑体"/>
      <w:b/>
      <w:bCs/>
      <w:sz w:val="21"/>
      <w:szCs w:val="21"/>
    </w:rPr>
  </w:style>
  <w:style w:type="paragraph" w:styleId="2">
    <w:name w:val="heading 2"/>
    <w:basedOn w:val="1"/>
    <w:next w:val="1"/>
    <w:qFormat/>
    <w:uiPriority w:val="1"/>
    <w:pPr>
      <w:spacing w:before="54"/>
      <w:ind w:right="150"/>
      <w:jc w:val="center"/>
      <w:outlineLvl w:val="1"/>
    </w:pPr>
    <w:rPr>
      <w:rFonts w:ascii="黑体" w:hAnsi="黑体" w:eastAsia="黑体" w:cs="黑体"/>
      <w:sz w:val="32"/>
      <w:szCs w:val="32"/>
    </w:rPr>
  </w:style>
  <w:style w:type="paragraph" w:styleId="4">
    <w:name w:val="heading 3"/>
    <w:basedOn w:val="1"/>
    <w:next w:val="1"/>
    <w:qFormat/>
    <w:uiPriority w:val="1"/>
    <w:pPr>
      <w:outlineLvl w:val="2"/>
    </w:pPr>
    <w:rPr>
      <w:rFonts w:ascii="黑体" w:hAnsi="黑体" w:eastAsia="黑体" w:cs="黑体"/>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6">
    <w:name w:val="Body Text"/>
    <w:basedOn w:val="1"/>
    <w:qFormat/>
    <w:uiPriority w:val="1"/>
    <w:rPr>
      <w:sz w:val="21"/>
      <w:szCs w:val="21"/>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39"/>
    <w:pPr>
      <w:tabs>
        <w:tab w:val="right" w:leader="dot" w:pos="9060"/>
      </w:tabs>
      <w:ind w:firstLine="0" w:firstLineChars="0"/>
    </w:pPr>
    <w:rPr>
      <w:rFonts w:cs="Times New Roman"/>
      <w:b/>
    </w:rPr>
  </w:style>
  <w:style w:type="paragraph" w:styleId="11">
    <w:name w:val="toc 2"/>
    <w:basedOn w:val="1"/>
    <w:next w:val="1"/>
    <w:qFormat/>
    <w:uiPriority w:val="39"/>
    <w:pPr>
      <w:tabs>
        <w:tab w:val="right" w:leader="dot" w:pos="9060"/>
      </w:tabs>
      <w:ind w:left="566" w:leftChars="236" w:firstLine="0" w:firstLineChars="0"/>
    </w:pPr>
  </w:style>
  <w:style w:type="character" w:styleId="14">
    <w:name w:val="FollowedHyperlink"/>
    <w:basedOn w:val="13"/>
    <w:qFormat/>
    <w:uiPriority w:val="0"/>
    <w:rPr>
      <w:color w:val="000000"/>
      <w:u w:val="none"/>
    </w:rPr>
  </w:style>
  <w:style w:type="character" w:styleId="15">
    <w:name w:val="Emphasis"/>
    <w:basedOn w:val="13"/>
    <w:qFormat/>
    <w:uiPriority w:val="0"/>
  </w:style>
  <w:style w:type="character" w:styleId="16">
    <w:name w:val="Hyperlink"/>
    <w:basedOn w:val="13"/>
    <w:qFormat/>
    <w:uiPriority w:val="0"/>
    <w:rPr>
      <w:color w:val="000000"/>
      <w:u w:val="non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18"/>
    </w:pPr>
  </w:style>
  <w:style w:type="paragraph" w:customStyle="1" w:styleId="19">
    <w:name w:val="Table Paragraph"/>
    <w:basedOn w:val="1"/>
    <w:qFormat/>
    <w:uiPriority w:val="1"/>
  </w:style>
  <w:style w:type="character" w:customStyle="1" w:styleId="20">
    <w:name w:val="bsharetext"/>
    <w:basedOn w:val="13"/>
    <w:qFormat/>
    <w:uiPriority w:val="0"/>
  </w:style>
  <w:style w:type="character" w:customStyle="1" w:styleId="21">
    <w:name w:val="radio-btn"/>
    <w:basedOn w:val="13"/>
    <w:qFormat/>
    <w:uiPriority w:val="0"/>
    <w:rPr>
      <w:sz w:val="24"/>
      <w:szCs w:val="24"/>
    </w:rPr>
  </w:style>
  <w:style w:type="character" w:customStyle="1" w:styleId="22">
    <w:name w:val="radio-btn1"/>
    <w:basedOn w:val="13"/>
    <w:qFormat/>
    <w:uiPriority w:val="0"/>
    <w:rPr>
      <w:sz w:val="21"/>
      <w:szCs w:val="21"/>
    </w:rPr>
  </w:style>
  <w:style w:type="character" w:customStyle="1" w:styleId="23">
    <w:name w:val="radio-btn2"/>
    <w:basedOn w:val="13"/>
    <w:qFormat/>
    <w:uiPriority w:val="0"/>
    <w:rPr>
      <w:sz w:val="24"/>
      <w:szCs w:val="24"/>
    </w:rPr>
  </w:style>
  <w:style w:type="character" w:customStyle="1" w:styleId="24">
    <w:name w:val="cur1"/>
    <w:basedOn w:val="13"/>
    <w:qFormat/>
    <w:uiPriority w:val="0"/>
    <w:rPr>
      <w:color w:val="FFFFFF"/>
      <w:shd w:val="clear" w:color="auto" w:fill="2F6B98"/>
    </w:rPr>
  </w:style>
  <w:style w:type="character" w:customStyle="1" w:styleId="25">
    <w:name w:val="lable"/>
    <w:basedOn w:val="13"/>
    <w:qFormat/>
    <w:uiPriority w:val="0"/>
    <w:rPr>
      <w:sz w:val="24"/>
      <w:szCs w:val="24"/>
    </w:rPr>
  </w:style>
  <w:style w:type="character" w:customStyle="1" w:styleId="26">
    <w:name w:val="lishishuju"/>
    <w:basedOn w:val="13"/>
    <w:qFormat/>
    <w:uiPriority w:val="0"/>
    <w:rPr>
      <w:b/>
      <w:color w:val="000052"/>
      <w:sz w:val="24"/>
      <w:szCs w:val="24"/>
      <w:bdr w:val="single" w:color="E3E3E3" w:sz="6" w:space="0"/>
    </w:rPr>
  </w:style>
  <w:style w:type="character" w:customStyle="1" w:styleId="27">
    <w:name w:val="znspantitle"/>
    <w:basedOn w:val="13"/>
    <w:qFormat/>
    <w:uiPriority w:val="0"/>
    <w:rPr>
      <w:b/>
      <w:color w:val="333333"/>
    </w:rPr>
  </w:style>
  <w:style w:type="character" w:customStyle="1" w:styleId="28">
    <w:name w:val="disabled"/>
    <w:basedOn w:val="13"/>
    <w:qFormat/>
    <w:uiPriority w:val="0"/>
    <w:rPr>
      <w:vanish/>
    </w:rPr>
  </w:style>
  <w:style w:type="character" w:customStyle="1" w:styleId="29">
    <w:name w:val="font21"/>
    <w:basedOn w:val="13"/>
    <w:qFormat/>
    <w:uiPriority w:val="0"/>
    <w:rPr>
      <w:rFonts w:hint="eastAsia" w:ascii="宋体" w:hAnsi="宋体" w:eastAsia="宋体" w:cs="宋体"/>
      <w:color w:val="000000"/>
      <w:sz w:val="28"/>
      <w:szCs w:val="28"/>
      <w:u w:val="none"/>
    </w:rPr>
  </w:style>
  <w:style w:type="paragraph" w:customStyle="1" w:styleId="30">
    <w:name w:val="附录章标题"/>
    <w:next w:val="3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2">
    <w:name w:val="附录一级无"/>
    <w:basedOn w:val="33"/>
    <w:qFormat/>
    <w:uiPriority w:val="0"/>
    <w:pPr>
      <w:tabs>
        <w:tab w:val="left" w:pos="360"/>
      </w:tabs>
      <w:spacing w:before="0" w:beforeLines="0" w:after="0" w:afterLines="0"/>
    </w:pPr>
    <w:rPr>
      <w:rFonts w:ascii="宋体" w:eastAsia="宋体"/>
      <w:szCs w:val="21"/>
    </w:rPr>
  </w:style>
  <w:style w:type="paragraph" w:customStyle="1" w:styleId="33">
    <w:name w:val="附录一级条标题"/>
    <w:basedOn w:val="30"/>
    <w:next w:val="31"/>
    <w:qFormat/>
    <w:uiPriority w:val="0"/>
    <w:pPr>
      <w:numPr>
        <w:ilvl w:val="2"/>
        <w:numId w:val="1"/>
      </w:numPr>
      <w:autoSpaceDN w:val="0"/>
      <w:spacing w:before="50" w:beforeLines="50" w:after="50" w:afterLines="50"/>
      <w:outlineLvl w:val="2"/>
    </w:pPr>
  </w:style>
  <w:style w:type="paragraph" w:customStyle="1" w:styleId="34">
    <w:name w:val="附录二级无"/>
    <w:basedOn w:val="35"/>
    <w:qFormat/>
    <w:uiPriority w:val="0"/>
    <w:pPr>
      <w:tabs>
        <w:tab w:val="left" w:pos="360"/>
      </w:tabs>
      <w:spacing w:before="0" w:beforeLines="0" w:after="0" w:afterLines="0"/>
    </w:pPr>
    <w:rPr>
      <w:rFonts w:ascii="宋体" w:eastAsia="宋体"/>
      <w:szCs w:val="21"/>
    </w:rPr>
  </w:style>
  <w:style w:type="paragraph" w:customStyle="1" w:styleId="35">
    <w:name w:val="附录二级条标题"/>
    <w:basedOn w:val="1"/>
    <w:next w:val="3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6">
    <w:name w:val="WPSOffice手动目录 1"/>
    <w:qFormat/>
    <w:uiPriority w:val="0"/>
    <w:pPr>
      <w:ind w:leftChars="0"/>
    </w:pPr>
    <w:rPr>
      <w:rFonts w:ascii="Calibri" w:hAnsi="Calibri" w:eastAsia="宋体" w:cs="Times New Roman"/>
      <w:sz w:val="20"/>
      <w:szCs w:val="20"/>
    </w:rPr>
  </w:style>
  <w:style w:type="paragraph" w:customStyle="1" w:styleId="37">
    <w:name w:val="WPSOffice手动目录 2"/>
    <w:qFormat/>
    <w:uiPriority w:val="0"/>
    <w:pPr>
      <w:ind w:leftChars="200"/>
    </w:pPr>
    <w:rPr>
      <w:rFonts w:ascii="Calibri" w:hAnsi="Calibri" w:eastAsia="宋体" w:cs="Times New Roman"/>
      <w:sz w:val="20"/>
      <w:szCs w:val="20"/>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1">
    <w:name w:val="章标题"/>
    <w:next w:val="31"/>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2">
    <w:name w:val="一级条标题"/>
    <w:next w:val="3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3">
    <w:name w:val="二级无"/>
    <w:basedOn w:val="44"/>
    <w:qFormat/>
    <w:uiPriority w:val="0"/>
    <w:pPr>
      <w:spacing w:before="0" w:beforeLines="0" w:after="0" w:afterLines="0"/>
    </w:pPr>
    <w:rPr>
      <w:rFonts w:ascii="宋体" w:eastAsia="宋体"/>
    </w:rPr>
  </w:style>
  <w:style w:type="paragraph" w:customStyle="1" w:styleId="44">
    <w:name w:val="二级条标题"/>
    <w:basedOn w:val="42"/>
    <w:next w:val="31"/>
    <w:uiPriority w:val="0"/>
    <w:pPr>
      <w:numPr>
        <w:ilvl w:val="2"/>
        <w:numId w:val="2"/>
      </w:numPr>
      <w:spacing w:before="50" w:after="50"/>
      <w:outlineLvl w:val="3"/>
    </w:pPr>
  </w:style>
  <w:style w:type="paragraph" w:customStyle="1" w:styleId="45">
    <w:name w:val="三级无"/>
    <w:basedOn w:val="46"/>
    <w:qFormat/>
    <w:uiPriority w:val="0"/>
    <w:pPr>
      <w:spacing w:before="0" w:beforeLines="0" w:after="0" w:afterLines="0"/>
    </w:pPr>
    <w:rPr>
      <w:rFonts w:ascii="宋体" w:eastAsia="宋体"/>
    </w:rPr>
  </w:style>
  <w:style w:type="paragraph" w:customStyle="1" w:styleId="46">
    <w:name w:val="三级条标题"/>
    <w:basedOn w:val="44"/>
    <w:next w:val="31"/>
    <w:qFormat/>
    <w:uiPriority w:val="0"/>
    <w:pPr>
      <w:numPr>
        <w:ilvl w:val="0"/>
        <w:numId w:val="0"/>
      </w:numPr>
      <w:outlineLvl w:val="4"/>
    </w:pPr>
  </w:style>
  <w:style w:type="paragraph" w:customStyle="1" w:styleId="47">
    <w:name w:val="一级无"/>
    <w:basedOn w:val="42"/>
    <w:qFormat/>
    <w:uiPriority w:val="0"/>
    <w:pPr>
      <w:spacing w:before="0" w:beforeLines="0" w:after="0" w:afterLines="0"/>
    </w:pPr>
    <w:rPr>
      <w:rFonts w:ascii="宋体" w:eastAsia="宋体"/>
    </w:rPr>
  </w:style>
  <w:style w:type="paragraph" w:customStyle="1" w:styleId="4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686</Words>
  <Characters>3915</Characters>
  <Lines>32</Lines>
  <Paragraphs>9</Paragraphs>
  <TotalTime>2</TotalTime>
  <ScaleCrop>false</ScaleCrop>
  <LinksUpToDate>false</LinksUpToDate>
  <CharactersWithSpaces>4592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2020-02-24T07:48:00Z</dcterms:created>
  <dc:creator>Administrator</dc:creator>
  <cp:lastModifiedBy>ZDX</cp:lastModifiedBy>
  <cp:lastPrinted>2021-08-20T00:40:00Z</cp:lastPrinted>
  <dcterms:modified xsi:type="dcterms:W3CDTF">2022-01-24T13:30:39Z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Office Word 2007</vt:lpwstr>
  </property>
  <property fmtid="{D5CDD505-2E9C-101B-9397-08002B2CF9AE}" pid="4" name="LastSaved">
    <vt:filetime>2020-02-24T00:00:00Z</vt:filetime>
  </property>
  <property fmtid="{D5CDD505-2E9C-101B-9397-08002B2CF9AE}" pid="5" name="KSOProductBuildVer">
    <vt:lpwstr>2052-11.1.0.10356</vt:lpwstr>
  </property>
  <property fmtid="{D5CDD505-2E9C-101B-9397-08002B2CF9AE}" pid="6" name="ICV">
    <vt:lpwstr>5F1CE429B7E14117A45CFE7DA7E0D66F</vt:lpwstr>
  </property>
</Properties>
</file>